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327EF0">
      <w:pPr>
        <w:wordWrap w:val="0"/>
        <w:jc w:val="center"/>
        <w:rPr>
          <w:rFonts w:ascii="黑体" w:eastAsia="黑体"/>
          <w:szCs w:val="21"/>
        </w:rPr>
      </w:pPr>
    </w:p>
    <w:p w14:paraId="025595B7">
      <w:pPr>
        <w:jc w:val="center"/>
        <w:rPr>
          <w:rFonts w:hint="eastAsia" w:ascii="仿宋_GB2312"/>
          <w:szCs w:val="21"/>
        </w:rPr>
      </w:pPr>
    </w:p>
    <w:p w14:paraId="2440C6A3">
      <w:pPr>
        <w:spacing w:line="640" w:lineRule="exact"/>
        <w:jc w:val="center"/>
        <w:rPr>
          <w:rFonts w:hint="eastAsia" w:ascii="仿宋_GB2312"/>
          <w:color w:val="FF0000"/>
          <w:szCs w:val="21"/>
        </w:rPr>
      </w:pPr>
    </w:p>
    <w:p w14:paraId="1869C207">
      <w:pPr>
        <w:spacing w:line="1000" w:lineRule="exact"/>
        <w:jc w:val="center"/>
        <w:rPr>
          <w:rFonts w:hint="eastAsia" w:ascii="方正小标宋_GBK" w:hAnsi="华文中宋" w:eastAsia="方正小标宋_GBK" w:cs="宋体-18030"/>
          <w:bCs/>
          <w:color w:val="FF0000"/>
          <w:spacing w:val="112"/>
          <w:sz w:val="52"/>
          <w:szCs w:val="52"/>
        </w:rPr>
      </w:pPr>
      <w:r>
        <w:rPr>
          <w:rFonts w:hint="eastAsia" w:ascii="方正小标宋_GBK" w:hAnsi="华文中宋" w:eastAsia="方正小标宋_GBK" w:cs="宋体-18030"/>
          <w:bCs/>
          <w:color w:val="FF0000"/>
          <w:spacing w:val="112"/>
          <w:sz w:val="52"/>
          <w:szCs w:val="52"/>
        </w:rPr>
        <w:t>广西壮族自治区</w:t>
      </w:r>
    </w:p>
    <w:p w14:paraId="0CB35425">
      <w:pPr>
        <w:spacing w:line="500" w:lineRule="exact"/>
        <w:jc w:val="center"/>
        <w:rPr>
          <w:rFonts w:hint="eastAsia" w:ascii="方正小标宋_GBK" w:hAnsi="华文中宋" w:eastAsia="方正小标宋_GBK" w:cs="宋体-18030"/>
          <w:bCs/>
          <w:color w:val="FF0000"/>
          <w:spacing w:val="34"/>
          <w:sz w:val="52"/>
          <w:szCs w:val="52"/>
        </w:rPr>
      </w:pPr>
    </w:p>
    <w:p w14:paraId="154B0D1E">
      <w:pPr>
        <w:spacing w:line="1000" w:lineRule="exact"/>
        <w:jc w:val="center"/>
        <w:rPr>
          <w:rFonts w:hint="eastAsia" w:ascii="方正小标宋_GBK" w:hAnsi="华文中宋" w:eastAsia="方正小标宋_GBK" w:cs="宋体-18030"/>
          <w:bCs/>
          <w:color w:val="FF0000"/>
          <w:spacing w:val="54"/>
          <w:kern w:val="0"/>
          <w:sz w:val="72"/>
          <w:szCs w:val="72"/>
        </w:rPr>
      </w:pPr>
      <w:r>
        <w:rPr>
          <w:rFonts w:hint="eastAsia" w:ascii="方正小标宋_GBK" w:hAnsi="华文中宋" w:eastAsia="方正小标宋_GBK" w:cs="宋体-18030"/>
          <w:bCs/>
          <w:color w:val="FF0000"/>
          <w:spacing w:val="54"/>
          <w:kern w:val="0"/>
          <w:sz w:val="72"/>
          <w:szCs w:val="72"/>
        </w:rPr>
        <w:t>发展和改革委员会文件</w:t>
      </w:r>
    </w:p>
    <w:p w14:paraId="37881DA6">
      <w:pPr>
        <w:spacing w:line="600" w:lineRule="atLeast"/>
        <w:jc w:val="center"/>
        <w:rPr>
          <w:rFonts w:hint="eastAsia" w:ascii="仿宋_GB2312"/>
          <w:color w:val="FFFFFF"/>
          <w:szCs w:val="21"/>
        </w:rPr>
      </w:pPr>
    </w:p>
    <w:p w14:paraId="66F94D4A">
      <w:pPr>
        <w:jc w:val="center"/>
        <w:rPr>
          <w:rFonts w:hint="eastAsia" w:ascii="仿宋_GB2312"/>
          <w:szCs w:val="21"/>
        </w:rPr>
      </w:pPr>
      <w:r>
        <w:rPr>
          <w:rFonts w:hint="eastAsia" w:ascii="仿宋_GB2312"/>
          <w:szCs w:val="21"/>
          <w:lang w:eastAsia="zh-CN"/>
        </w:rPr>
        <w:t>桂发改高技</w:t>
      </w:r>
      <w:r>
        <w:rPr>
          <w:rFonts w:hint="eastAsia" w:ascii="仿宋_GB2312"/>
          <w:szCs w:val="21"/>
        </w:rPr>
        <w:t>〔</w:t>
      </w:r>
      <w:r>
        <w:rPr>
          <w:rFonts w:hint="eastAsia" w:ascii="仿宋_GB2312"/>
          <w:szCs w:val="21"/>
          <w:lang w:eastAsia="zh-CN"/>
        </w:rPr>
        <w:t>2025</w:t>
      </w:r>
      <w:r>
        <w:rPr>
          <w:rFonts w:hint="eastAsia" w:ascii="仿宋_GB2312"/>
          <w:szCs w:val="21"/>
        </w:rPr>
        <w:t>〕</w:t>
      </w:r>
      <w:r>
        <w:rPr>
          <w:rFonts w:hint="eastAsia" w:ascii="仿宋_GB2312"/>
          <w:szCs w:val="21"/>
          <w:lang w:eastAsia="zh-CN"/>
        </w:rPr>
        <w:t>560</w:t>
      </w:r>
      <w:r>
        <w:rPr>
          <w:rFonts w:hint="eastAsia" w:ascii="仿宋_GB2312"/>
          <w:szCs w:val="21"/>
        </w:rPr>
        <w:t>号</w:t>
      </w:r>
    </w:p>
    <w:p w14:paraId="55FD3190">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szCs w:val="21"/>
        </w:rPr>
      </w:pPr>
      <w:r>
        <w:rPr>
          <w:rFonts w:hint="eastAsia"/>
        </w:rPr>
        <mc:AlternateContent>
          <mc:Choice Requires="wps">
            <w:drawing>
              <wp:anchor distT="0" distB="0" distL="114300" distR="114300" simplePos="0" relativeHeight="251659264" behindDoc="0" locked="0" layoutInCell="1" allowOverlap="1">
                <wp:simplePos x="0" y="0"/>
                <wp:positionH relativeFrom="column">
                  <wp:posOffset>-97790</wp:posOffset>
                </wp:positionH>
                <wp:positionV relativeFrom="paragraph">
                  <wp:posOffset>109220</wp:posOffset>
                </wp:positionV>
                <wp:extent cx="5675630" cy="635"/>
                <wp:effectExtent l="0" t="13970" r="1270" b="23495"/>
                <wp:wrapNone/>
                <wp:docPr id="1" name="任意多边形 16"/>
                <wp:cNvGraphicFramePr/>
                <a:graphic xmlns:a="http://schemas.openxmlformats.org/drawingml/2006/main">
                  <a:graphicData uri="http://schemas.microsoft.com/office/word/2010/wordprocessingShape">
                    <wps:wsp>
                      <wps:cNvSpPr/>
                      <wps:spPr>
                        <a:xfrm>
                          <a:off x="0" y="0"/>
                          <a:ext cx="5675630" cy="635"/>
                        </a:xfrm>
                        <a:custGeom>
                          <a:avLst/>
                          <a:gdLst/>
                          <a:ahLst/>
                          <a:cxnLst/>
                          <a:pathLst>
                            <a:path w="8938" h="1">
                              <a:moveTo>
                                <a:pt x="0" y="1"/>
                              </a:moveTo>
                              <a:lnTo>
                                <a:pt x="8938" y="0"/>
                              </a:lnTo>
                            </a:path>
                          </a:pathLst>
                        </a:custGeom>
                        <a:solidFill>
                          <a:srgbClr val="FF0000"/>
                        </a:solidFill>
                        <a:ln w="28575" cap="flat" cmpd="sng">
                          <a:solidFill>
                            <a:srgbClr val="FF0000"/>
                          </a:solidFill>
                          <a:prstDash val="solid"/>
                          <a:headEnd type="none" w="med" len="med"/>
                          <a:tailEnd type="none" w="med" len="med"/>
                        </a:ln>
                      </wps:spPr>
                      <wps:bodyPr wrap="square" upright="1"/>
                    </wps:wsp>
                  </a:graphicData>
                </a:graphic>
              </wp:anchor>
            </w:drawing>
          </mc:Choice>
          <mc:Fallback>
            <w:pict>
              <v:shape id="任意多边形 16" o:spid="_x0000_s1026" o:spt="100" style="position:absolute;left:0pt;margin-left:-7.7pt;margin-top:8.6pt;height:0.05pt;width:446.9pt;z-index:251659264;mso-width-relative:page;mso-height-relative:page;" fillcolor="#FF0000" filled="t" stroked="t" coordsize="8938,1" o:gfxdata="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&#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oYZ5ydUAAAAJAQAADwAAAAAAAAABACAAAAAiAAAAZHJz&#10;L2Rvd25yZXYueG1sUEsBAhQAFAAAAAgAh07iQJQUPrtAAgAAwwQAAA4AAAAAAAAAAQAgAAAAJAEA&#10;AGRycy9lMm9Eb2MueG1sUEsFBgAAAAAGAAYAWQEAANYFAAAAAA==&#10;" path="m0,1l8938,0e">
                <v:fill on="t" focussize="0,0"/>
                <v:stroke weight="2.25pt" color="#FF0000" joinstyle="round"/>
                <v:imagedata o:title=""/>
                <o:lock v:ext="edit" aspectratio="f"/>
              </v:shape>
            </w:pict>
          </mc:Fallback>
        </mc:AlternateContent>
      </w:r>
    </w:p>
    <w:p w14:paraId="5677F7F0">
      <w:pPr>
        <w:keepNext w:val="0"/>
        <w:keepLines w:val="0"/>
        <w:pageBreakBefore w:val="0"/>
        <w:widowControl/>
        <w:suppressLineNumbers w:val="0"/>
        <w:kinsoku/>
        <w:wordWrap/>
        <w:overflowPunct/>
        <w:topLinePunct w:val="0"/>
        <w:autoSpaceDE/>
        <w:autoSpaceDN/>
        <w:bidi w:val="0"/>
        <w:adjustRightInd/>
        <w:snapToGrid/>
        <w:spacing w:line="660" w:lineRule="exact"/>
        <w:ind w:firstLine="0" w:firstLineChars="0"/>
        <w:jc w:val="center"/>
        <w:textAlignment w:val="auto"/>
        <w:outlineLvl w:val="9"/>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kern w:val="0"/>
          <w:sz w:val="44"/>
          <w:szCs w:val="44"/>
          <w:lang w:val="en-US" w:eastAsia="zh-CN" w:bidi="ar"/>
        </w:rPr>
        <w:t>广西壮族自治区发展和改革委员会</w:t>
      </w:r>
      <w:r>
        <w:rPr>
          <w:rFonts w:hint="eastAsia" w:ascii="方正小标宋简体" w:hAnsi="方正小标宋简体" w:eastAsia="方正小标宋简体" w:cs="方正小标宋简体"/>
          <w:color w:val="000000"/>
          <w:sz w:val="44"/>
          <w:szCs w:val="44"/>
        </w:rPr>
        <w:t>关于</w:t>
      </w:r>
    </w:p>
    <w:p w14:paraId="6121388D">
      <w:pPr>
        <w:keepNext w:val="0"/>
        <w:keepLines w:val="0"/>
        <w:pageBreakBefore w:val="0"/>
        <w:widowControl/>
        <w:suppressLineNumbers w:val="0"/>
        <w:kinsoku/>
        <w:wordWrap/>
        <w:overflowPunct/>
        <w:topLinePunct w:val="0"/>
        <w:autoSpaceDE/>
        <w:autoSpaceDN/>
        <w:bidi w:val="0"/>
        <w:adjustRightInd/>
        <w:snapToGrid/>
        <w:spacing w:line="660" w:lineRule="exact"/>
        <w:ind w:firstLine="0" w:firstLineChars="0"/>
        <w:jc w:val="center"/>
        <w:textAlignment w:val="auto"/>
        <w:outlineLvl w:val="9"/>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pacing w:val="-11"/>
          <w:sz w:val="44"/>
          <w:szCs w:val="44"/>
        </w:rPr>
        <w:t>组织开展202</w:t>
      </w:r>
      <w:r>
        <w:rPr>
          <w:rFonts w:hint="eastAsia" w:ascii="方正小标宋简体" w:hAnsi="方正小标宋简体" w:eastAsia="方正小标宋简体" w:cs="方正小标宋简体"/>
          <w:color w:val="000000"/>
          <w:spacing w:val="-11"/>
          <w:sz w:val="44"/>
          <w:szCs w:val="44"/>
          <w:lang w:val="en-US" w:eastAsia="zh-CN"/>
        </w:rPr>
        <w:t>5</w:t>
      </w:r>
      <w:r>
        <w:rPr>
          <w:rFonts w:hint="eastAsia" w:ascii="方正小标宋简体" w:hAnsi="方正小标宋简体" w:eastAsia="方正小标宋简体" w:cs="方正小标宋简体"/>
          <w:color w:val="000000"/>
          <w:spacing w:val="-11"/>
          <w:sz w:val="44"/>
          <w:szCs w:val="44"/>
        </w:rPr>
        <w:t>年自治区工程研究中心</w:t>
      </w:r>
    </w:p>
    <w:p w14:paraId="7D0AEA26">
      <w:pPr>
        <w:keepNext w:val="0"/>
        <w:keepLines w:val="0"/>
        <w:pageBreakBefore w:val="0"/>
        <w:widowControl/>
        <w:suppressLineNumbers w:val="0"/>
        <w:kinsoku/>
        <w:wordWrap/>
        <w:overflowPunct/>
        <w:topLinePunct w:val="0"/>
        <w:autoSpaceDE/>
        <w:autoSpaceDN/>
        <w:bidi w:val="0"/>
        <w:adjustRightInd/>
        <w:snapToGrid/>
        <w:spacing w:line="660" w:lineRule="exact"/>
        <w:ind w:firstLine="0" w:firstLineChars="0"/>
        <w:jc w:val="center"/>
        <w:textAlignment w:val="auto"/>
        <w:outlineLvl w:val="9"/>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color w:val="000000"/>
          <w:sz w:val="44"/>
          <w:szCs w:val="44"/>
        </w:rPr>
        <w:t>认定</w:t>
      </w:r>
      <w:r>
        <w:rPr>
          <w:rFonts w:hint="eastAsia" w:ascii="方正小标宋简体" w:hAnsi="方正小标宋简体" w:eastAsia="方正小标宋简体" w:cs="方正小标宋简体"/>
          <w:color w:val="000000"/>
          <w:sz w:val="44"/>
          <w:szCs w:val="44"/>
          <w:lang w:eastAsia="zh-CN"/>
        </w:rPr>
        <w:t>及评价</w:t>
      </w:r>
      <w:r>
        <w:rPr>
          <w:rFonts w:hint="eastAsia" w:ascii="方正小标宋简体" w:hAnsi="方正小标宋简体" w:eastAsia="方正小标宋简体" w:cs="方正小标宋简体"/>
          <w:color w:val="000000"/>
          <w:sz w:val="44"/>
          <w:szCs w:val="44"/>
        </w:rPr>
        <w:t>工作的通知</w:t>
      </w:r>
    </w:p>
    <w:p w14:paraId="336EBB80">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596" w:firstLineChars="200"/>
        <w:jc w:val="left"/>
        <w:textAlignment w:val="auto"/>
        <w:outlineLvl w:val="9"/>
        <w:rPr>
          <w:rFonts w:ascii="仿宋_GB2312" w:eastAsia="仿宋_GB2312" w:cs="仿宋_GB2312"/>
          <w:color w:val="000000"/>
          <w:sz w:val="31"/>
          <w:szCs w:val="31"/>
        </w:rPr>
      </w:pPr>
    </w:p>
    <w:p w14:paraId="20455ADF">
      <w:pPr>
        <w:pStyle w:val="13"/>
        <w:keepNext w:val="0"/>
        <w:keepLines w:val="0"/>
        <w:pageBreakBefore w:val="0"/>
        <w:widowControl w:val="0"/>
        <w:suppressLineNumbers w:val="0"/>
        <w:kinsoku/>
        <w:wordWrap/>
        <w:overflowPunct/>
        <w:topLinePunct w:val="0"/>
        <w:autoSpaceDE/>
        <w:autoSpaceDN/>
        <w:bidi w:val="0"/>
        <w:adjustRightInd/>
        <w:snapToGrid/>
        <w:spacing w:line="580" w:lineRule="exact"/>
        <w:jc w:val="both"/>
        <w:textAlignment w:val="auto"/>
        <w:outlineLvl w:val="9"/>
        <w:rPr>
          <w:sz w:val="32"/>
          <w:szCs w:val="36"/>
        </w:rPr>
      </w:pPr>
      <w:r>
        <w:rPr>
          <w:rFonts w:hint="eastAsia" w:ascii="仿宋_GB2312" w:eastAsia="仿宋_GB2312" w:cs="仿宋_GB2312"/>
          <w:color w:val="000000"/>
          <w:sz w:val="32"/>
          <w:szCs w:val="36"/>
          <w:lang w:eastAsia="zh-CN"/>
        </w:rPr>
        <w:t>自治区</w:t>
      </w:r>
      <w:r>
        <w:rPr>
          <w:rFonts w:ascii="仿宋_GB2312" w:eastAsia="仿宋_GB2312" w:cs="仿宋_GB2312"/>
          <w:color w:val="000000"/>
          <w:sz w:val="32"/>
          <w:szCs w:val="36"/>
        </w:rPr>
        <w:t>各有关单位，各设区市发展改革委：</w:t>
      </w:r>
    </w:p>
    <w:p w14:paraId="3CADE28E">
      <w:pPr>
        <w:pStyle w:val="13"/>
        <w:keepNext w:val="0"/>
        <w:keepLines w:val="0"/>
        <w:pageBreakBefore w:val="0"/>
        <w:widowControl w:val="0"/>
        <w:suppressLineNumbers w:val="0"/>
        <w:kinsoku/>
        <w:wordWrap/>
        <w:overflowPunct/>
        <w:topLinePunct w:val="0"/>
        <w:autoSpaceDE/>
        <w:autoSpaceDN/>
        <w:bidi w:val="0"/>
        <w:adjustRightInd/>
        <w:snapToGrid/>
        <w:spacing w:line="580" w:lineRule="exact"/>
        <w:ind w:left="0" w:firstLine="616" w:firstLineChars="200"/>
        <w:jc w:val="both"/>
        <w:textAlignment w:val="auto"/>
        <w:outlineLvl w:val="9"/>
        <w:rPr>
          <w:rFonts w:hint="eastAsia" w:ascii="仿宋_GB2312" w:hAnsi="仿宋_GB2312" w:eastAsia="仿宋_GB2312" w:cs="仿宋_GB2312"/>
          <w:snapToGrid w:val="0"/>
          <w:color w:val="auto"/>
          <w:kern w:val="0"/>
          <w:sz w:val="32"/>
          <w:szCs w:val="36"/>
          <w:lang w:val="en-US" w:eastAsia="zh-CN" w:bidi="ar-SA"/>
        </w:rPr>
      </w:pPr>
      <w:r>
        <w:rPr>
          <w:rFonts w:hint="eastAsia" w:ascii="仿宋_GB2312" w:hAnsi="仿宋_GB2312" w:eastAsia="仿宋_GB2312" w:cs="仿宋_GB2312"/>
          <w:snapToGrid w:val="0"/>
          <w:color w:val="auto"/>
          <w:kern w:val="0"/>
          <w:sz w:val="32"/>
          <w:szCs w:val="36"/>
          <w:lang w:val="en-US" w:eastAsia="zh-CN" w:bidi="ar-SA"/>
        </w:rPr>
        <w:t>创新平台作为培养创新人才、集聚创新资源的重要抓手，在推动经济高质量发展中发挥着重要作用。为深入贯彻落实党中央、国务院关于深化体制机制改革加快实施创新驱动发展战略等文件精神，更好发挥创新平台载体作用，持续提升自主创新能力，按照《广西壮族自治区工程研究中心管理办法》（以下简称《管理办法》）有关要求，拟组织开展2025年自治区工程研究中心认定和评价工作，现就有关事项通知如下：</w:t>
      </w:r>
    </w:p>
    <w:p w14:paraId="7507FB8C">
      <w:pPr>
        <w:pStyle w:val="13"/>
        <w:keepNext w:val="0"/>
        <w:keepLines w:val="0"/>
        <w:pageBreakBefore w:val="0"/>
        <w:widowControl w:val="0"/>
        <w:suppressLineNumbers w:val="0"/>
        <w:kinsoku/>
        <w:wordWrap/>
        <w:overflowPunct/>
        <w:topLinePunct w:val="0"/>
        <w:autoSpaceDE/>
        <w:autoSpaceDN/>
        <w:bidi w:val="0"/>
        <w:adjustRightInd/>
        <w:snapToGrid/>
        <w:spacing w:line="600" w:lineRule="exact"/>
        <w:ind w:left="0" w:firstLine="616" w:firstLineChars="200"/>
        <w:jc w:val="both"/>
        <w:textAlignment w:val="auto"/>
        <w:outlineLvl w:val="9"/>
        <w:rPr>
          <w:rFonts w:hint="eastAsia" w:ascii="黑体" w:hAnsi="黑体" w:eastAsia="黑体" w:cs="黑体"/>
          <w:b w:val="0"/>
          <w:bCs w:val="0"/>
          <w:snapToGrid w:val="0"/>
          <w:color w:val="auto"/>
          <w:kern w:val="0"/>
          <w:sz w:val="32"/>
          <w:szCs w:val="36"/>
          <w:lang w:val="en-US" w:eastAsia="zh-CN" w:bidi="ar-SA"/>
        </w:rPr>
      </w:pPr>
      <w:r>
        <w:rPr>
          <w:rFonts w:hint="eastAsia" w:ascii="黑体" w:hAnsi="黑体" w:eastAsia="黑体" w:cs="黑体"/>
          <w:b w:val="0"/>
          <w:bCs w:val="0"/>
          <w:snapToGrid w:val="0"/>
          <w:color w:val="auto"/>
          <w:kern w:val="0"/>
          <w:sz w:val="32"/>
          <w:szCs w:val="36"/>
          <w:lang w:val="en-US" w:eastAsia="zh-CN" w:bidi="ar-SA"/>
        </w:rPr>
        <w:t>一、关于2025年认定工作</w:t>
      </w:r>
    </w:p>
    <w:p w14:paraId="5A57689D">
      <w:pPr>
        <w:pStyle w:val="13"/>
        <w:keepNext w:val="0"/>
        <w:keepLines w:val="0"/>
        <w:pageBreakBefore w:val="0"/>
        <w:widowControl w:val="0"/>
        <w:suppressLineNumbers w:val="0"/>
        <w:kinsoku/>
        <w:wordWrap/>
        <w:overflowPunct/>
        <w:topLinePunct w:val="0"/>
        <w:autoSpaceDE/>
        <w:autoSpaceDN/>
        <w:bidi w:val="0"/>
        <w:adjustRightInd/>
        <w:snapToGrid/>
        <w:spacing w:line="600" w:lineRule="exact"/>
        <w:ind w:left="0" w:firstLine="616" w:firstLineChars="200"/>
        <w:jc w:val="both"/>
        <w:textAlignment w:val="auto"/>
        <w:outlineLvl w:val="9"/>
        <w:rPr>
          <w:rFonts w:hint="eastAsia" w:ascii="楷体_GB2312" w:hAnsi="楷体_GB2312" w:eastAsia="楷体_GB2312" w:cs="楷体_GB2312"/>
          <w:b/>
          <w:bCs/>
          <w:color w:val="000000"/>
          <w:sz w:val="32"/>
          <w:szCs w:val="36"/>
          <w:lang w:eastAsia="zh-CN"/>
        </w:rPr>
      </w:pPr>
      <w:r>
        <w:rPr>
          <w:rFonts w:hint="eastAsia" w:ascii="楷体_GB2312" w:hAnsi="楷体_GB2312" w:eastAsia="楷体_GB2312" w:cs="楷体_GB2312"/>
          <w:b/>
          <w:bCs/>
          <w:color w:val="000000"/>
          <w:sz w:val="32"/>
          <w:szCs w:val="36"/>
          <w:lang w:eastAsia="zh-CN"/>
        </w:rPr>
        <w:t>（一）申报条件。</w:t>
      </w:r>
    </w:p>
    <w:p w14:paraId="6BA2B6D0">
      <w:pPr>
        <w:pStyle w:val="13"/>
        <w:keepNext w:val="0"/>
        <w:keepLines w:val="0"/>
        <w:pageBreakBefore w:val="0"/>
        <w:widowControl w:val="0"/>
        <w:suppressLineNumbers w:val="0"/>
        <w:kinsoku/>
        <w:wordWrap/>
        <w:overflowPunct/>
        <w:topLinePunct w:val="0"/>
        <w:autoSpaceDE/>
        <w:autoSpaceDN/>
        <w:bidi w:val="0"/>
        <w:adjustRightInd/>
        <w:snapToGrid/>
        <w:spacing w:line="600" w:lineRule="exact"/>
        <w:ind w:left="0" w:firstLine="616" w:firstLineChars="200"/>
        <w:jc w:val="both"/>
        <w:textAlignment w:val="auto"/>
        <w:outlineLvl w:val="9"/>
        <w:rPr>
          <w:rFonts w:hint="eastAsia" w:ascii="仿宋_GB2312" w:hAnsi="仿宋_GB2312" w:eastAsia="仿宋_GB2312" w:cs="仿宋_GB2312"/>
          <w:snapToGrid w:val="0"/>
          <w:color w:val="auto"/>
          <w:kern w:val="0"/>
          <w:sz w:val="32"/>
          <w:szCs w:val="36"/>
          <w:lang w:val="en-US" w:eastAsia="zh-CN" w:bidi="ar-SA"/>
        </w:rPr>
      </w:pPr>
      <w:r>
        <w:rPr>
          <w:rFonts w:hint="eastAsia" w:ascii="仿宋_GB2312" w:hAnsi="仿宋_GB2312" w:eastAsia="仿宋_GB2312" w:cs="仿宋_GB2312"/>
          <w:snapToGrid w:val="0"/>
          <w:color w:val="auto"/>
          <w:kern w:val="0"/>
          <w:sz w:val="32"/>
          <w:szCs w:val="36"/>
          <w:lang w:val="en-US" w:eastAsia="zh-CN" w:bidi="ar-SA"/>
        </w:rPr>
        <w:t>根据工作安排，聚焦国家、自治区重大战略任务和重点工程建设需求，重点围绕新一代信息技术、生物技术（生物医药、生物化工、生物农业等）、新能源、新材料、高端装备制造、智能及新能源汽车、特色优势农业、绿色环保、数字创意及新兴服务业等战略性新兴产业及未来产业（人工智能、氢能、低空经济、深海空天等）等开展一批自治区工程研究中心和自治区人工智能场景工程研究中心认定工作。具体申报条件如下：</w:t>
      </w:r>
    </w:p>
    <w:p w14:paraId="20D9882A">
      <w:pPr>
        <w:pStyle w:val="13"/>
        <w:keepNext w:val="0"/>
        <w:keepLines w:val="0"/>
        <w:pageBreakBefore w:val="0"/>
        <w:widowControl w:val="0"/>
        <w:suppressLineNumbers w:val="0"/>
        <w:kinsoku/>
        <w:wordWrap/>
        <w:overflowPunct/>
        <w:topLinePunct w:val="0"/>
        <w:autoSpaceDE/>
        <w:autoSpaceDN/>
        <w:bidi w:val="0"/>
        <w:adjustRightInd/>
        <w:snapToGrid/>
        <w:spacing w:line="600" w:lineRule="exact"/>
        <w:ind w:left="0" w:firstLine="616" w:firstLineChars="200"/>
        <w:jc w:val="both"/>
        <w:textAlignment w:val="auto"/>
        <w:outlineLvl w:val="9"/>
        <w:rPr>
          <w:rFonts w:hint="eastAsia" w:ascii="仿宋_GB2312" w:hAnsi="仿宋_GB2312" w:eastAsia="仿宋_GB2312" w:cs="仿宋_GB2312"/>
          <w:snapToGrid w:val="0"/>
          <w:color w:val="auto"/>
          <w:kern w:val="0"/>
          <w:sz w:val="32"/>
          <w:szCs w:val="36"/>
          <w:lang w:val="en-US" w:eastAsia="zh-CN" w:bidi="ar-SA"/>
        </w:rPr>
      </w:pPr>
      <w:r>
        <w:rPr>
          <w:rFonts w:hint="eastAsia" w:ascii="仿宋_GB2312" w:hAnsi="仿宋_GB2312" w:eastAsia="仿宋_GB2312" w:cs="仿宋_GB2312"/>
          <w:b/>
          <w:bCs/>
          <w:snapToGrid w:val="0"/>
          <w:color w:val="auto"/>
          <w:kern w:val="0"/>
          <w:sz w:val="32"/>
          <w:szCs w:val="36"/>
          <w:lang w:val="en-US" w:eastAsia="zh-CN" w:bidi="ar-SA"/>
        </w:rPr>
        <w:t>1.关于自治区工程研究中心申报条件</w:t>
      </w:r>
      <w:r>
        <w:rPr>
          <w:rFonts w:hint="eastAsia" w:ascii="仿宋_GB2312" w:hAnsi="仿宋_GB2312" w:eastAsia="仿宋_GB2312" w:cs="仿宋_GB2312"/>
          <w:snapToGrid w:val="0"/>
          <w:color w:val="auto"/>
          <w:kern w:val="0"/>
          <w:sz w:val="32"/>
          <w:szCs w:val="36"/>
          <w:lang w:val="en-US" w:eastAsia="zh-CN" w:bidi="ar-SA"/>
        </w:rPr>
        <w:t>。</w:t>
      </w:r>
    </w:p>
    <w:p w14:paraId="5EFEBA5E">
      <w:pPr>
        <w:pStyle w:val="13"/>
        <w:keepNext w:val="0"/>
        <w:keepLines w:val="0"/>
        <w:pageBreakBefore w:val="0"/>
        <w:widowControl w:val="0"/>
        <w:suppressLineNumbers w:val="0"/>
        <w:kinsoku/>
        <w:wordWrap/>
        <w:overflowPunct/>
        <w:topLinePunct w:val="0"/>
        <w:autoSpaceDE/>
        <w:autoSpaceDN/>
        <w:bidi w:val="0"/>
        <w:adjustRightInd/>
        <w:snapToGrid/>
        <w:ind w:left="0" w:firstLine="640"/>
        <w:jc w:val="both"/>
        <w:textAlignment w:val="auto"/>
        <w:rPr>
          <w:rFonts w:hint="eastAsia" w:ascii="仿宋_GB2312" w:hAnsi="仿宋_GB2312" w:eastAsia="仿宋_GB2312" w:cs="仿宋_GB2312"/>
          <w:snapToGrid w:val="0"/>
          <w:color w:val="auto"/>
          <w:kern w:val="0"/>
          <w:sz w:val="32"/>
          <w:szCs w:val="36"/>
          <w:lang w:val="en-US" w:eastAsia="zh-CN" w:bidi="ar-SA"/>
        </w:rPr>
      </w:pPr>
      <w:r>
        <w:rPr>
          <w:rFonts w:hint="eastAsia" w:ascii="仿宋_GB2312" w:hAnsi="仿宋_GB2312" w:eastAsia="仿宋_GB2312" w:cs="仿宋_GB2312"/>
          <w:snapToGrid w:val="0"/>
          <w:color w:val="auto"/>
          <w:kern w:val="0"/>
          <w:sz w:val="32"/>
          <w:szCs w:val="36"/>
          <w:lang w:val="en-US" w:eastAsia="zh-CN" w:bidi="ar-SA"/>
        </w:rPr>
        <w:t>鼓励各相关领域的高等院校、科研院所、中央驻桂企业（广西注册）、区直国有企业、民营企业等单独或以创新联合体共同申报。申报单位需具备以下条件：</w:t>
      </w:r>
    </w:p>
    <w:p w14:paraId="7D2910F0">
      <w:pPr>
        <w:pStyle w:val="13"/>
        <w:keepNext w:val="0"/>
        <w:keepLines w:val="0"/>
        <w:pageBreakBefore w:val="0"/>
        <w:widowControl w:val="0"/>
        <w:suppressLineNumbers w:val="0"/>
        <w:kinsoku/>
        <w:wordWrap/>
        <w:overflowPunct/>
        <w:topLinePunct w:val="0"/>
        <w:autoSpaceDE/>
        <w:autoSpaceDN/>
        <w:bidi w:val="0"/>
        <w:adjustRightInd/>
        <w:snapToGrid/>
        <w:spacing w:line="600" w:lineRule="exact"/>
        <w:ind w:left="0" w:firstLine="616" w:firstLineChars="200"/>
        <w:jc w:val="both"/>
        <w:textAlignment w:val="auto"/>
        <w:outlineLvl w:val="9"/>
        <w:rPr>
          <w:rFonts w:hint="eastAsia" w:ascii="仿宋_GB2312" w:hAnsi="仿宋_GB2312" w:eastAsia="仿宋_GB2312" w:cs="仿宋_GB2312"/>
          <w:snapToGrid w:val="0"/>
          <w:color w:val="auto"/>
          <w:kern w:val="0"/>
          <w:sz w:val="32"/>
          <w:szCs w:val="36"/>
          <w:lang w:val="en-US" w:eastAsia="zh-CN" w:bidi="ar-SA"/>
        </w:rPr>
      </w:pPr>
      <w:r>
        <w:rPr>
          <w:rFonts w:hint="eastAsia" w:ascii="仿宋_GB2312" w:hAnsi="仿宋_GB2312" w:eastAsia="仿宋_GB2312" w:cs="仿宋_GB2312"/>
          <w:snapToGrid w:val="0"/>
          <w:color w:val="auto"/>
          <w:kern w:val="0"/>
          <w:sz w:val="32"/>
          <w:szCs w:val="36"/>
          <w:lang w:val="en-US" w:eastAsia="zh-CN" w:bidi="ar-SA"/>
        </w:rPr>
        <w:t>（1）申报单位在本领域技术创新中具有领先地位和竞争优势。依托单位应为广西区内注册的独立法人单位，且研发经费投入原则上不低于企业销售收入的3%；共建单位与其在产学研用等方面具有密切协同性，且为非关联单位，申报单位总数不超过3家。</w:t>
      </w:r>
    </w:p>
    <w:p w14:paraId="4F0095D2">
      <w:pPr>
        <w:pStyle w:val="13"/>
        <w:keepNext w:val="0"/>
        <w:keepLines w:val="0"/>
        <w:pageBreakBefore w:val="0"/>
        <w:widowControl w:val="0"/>
        <w:suppressLineNumbers w:val="0"/>
        <w:kinsoku/>
        <w:wordWrap/>
        <w:overflowPunct/>
        <w:topLinePunct w:val="0"/>
        <w:autoSpaceDE/>
        <w:autoSpaceDN/>
        <w:bidi w:val="0"/>
        <w:adjustRightInd/>
        <w:snapToGrid/>
        <w:ind w:left="0" w:firstLine="640"/>
        <w:jc w:val="both"/>
        <w:textAlignment w:val="auto"/>
        <w:rPr>
          <w:rFonts w:hint="eastAsia" w:ascii="仿宋_GB2312" w:hAnsi="仿宋_GB2312" w:eastAsia="仿宋_GB2312" w:cs="仿宋_GB2312"/>
          <w:snapToGrid w:val="0"/>
          <w:color w:val="auto"/>
          <w:kern w:val="0"/>
          <w:sz w:val="32"/>
          <w:szCs w:val="36"/>
          <w:lang w:val="en-US" w:eastAsia="zh-CN" w:bidi="ar-SA"/>
        </w:rPr>
      </w:pPr>
      <w:r>
        <w:rPr>
          <w:rFonts w:hint="eastAsia" w:ascii="仿宋_GB2312" w:hAnsi="仿宋_GB2312" w:eastAsia="仿宋_GB2312" w:cs="仿宋_GB2312"/>
          <w:snapToGrid w:val="0"/>
          <w:color w:val="auto"/>
          <w:kern w:val="0"/>
          <w:sz w:val="32"/>
          <w:szCs w:val="36"/>
          <w:lang w:val="en-US" w:eastAsia="zh-CN" w:bidi="ar-SA"/>
        </w:rPr>
        <w:t>（2）申报单位具有高层次人才队伍、高水平的研究开发和技术集成能力，拥有完善的人才激励、成果转化、知识产权管理等管理制度，技术团队人员总数不少于40人，其中专职研发人员占70%以上。</w:t>
      </w:r>
    </w:p>
    <w:p w14:paraId="25619B74">
      <w:pPr>
        <w:pStyle w:val="13"/>
        <w:keepNext w:val="0"/>
        <w:keepLines w:val="0"/>
        <w:pageBreakBefore w:val="0"/>
        <w:widowControl w:val="0"/>
        <w:suppressLineNumbers w:val="0"/>
        <w:kinsoku/>
        <w:wordWrap/>
        <w:overflowPunct/>
        <w:topLinePunct w:val="0"/>
        <w:autoSpaceDE/>
        <w:autoSpaceDN/>
        <w:bidi w:val="0"/>
        <w:adjustRightInd/>
        <w:snapToGrid/>
        <w:spacing w:line="580" w:lineRule="exact"/>
        <w:ind w:left="0" w:firstLine="640"/>
        <w:jc w:val="both"/>
        <w:textAlignment w:val="auto"/>
        <w:rPr>
          <w:rFonts w:hint="eastAsia" w:ascii="仿宋_GB2312" w:hAnsi="仿宋_GB2312" w:eastAsia="仿宋_GB2312" w:cs="仿宋_GB2312"/>
          <w:snapToGrid w:val="0"/>
          <w:color w:val="auto"/>
          <w:kern w:val="0"/>
          <w:sz w:val="32"/>
          <w:szCs w:val="36"/>
          <w:lang w:val="en-US" w:eastAsia="zh-CN" w:bidi="ar-SA"/>
        </w:rPr>
      </w:pPr>
      <w:r>
        <w:rPr>
          <w:rFonts w:hint="eastAsia" w:ascii="仿宋_GB2312" w:hAnsi="仿宋_GB2312" w:eastAsia="仿宋_GB2312" w:cs="仿宋_GB2312"/>
          <w:snapToGrid w:val="0"/>
          <w:color w:val="auto"/>
          <w:kern w:val="0"/>
          <w:sz w:val="32"/>
          <w:szCs w:val="36"/>
          <w:lang w:val="en-US" w:eastAsia="zh-CN" w:bidi="ar-SA"/>
        </w:rPr>
        <w:t>（3）拟申请的自治区工程研究中心具有较强的综合实力，发展思路清晰、目标定位明确、运行管理体制规范，科研场地面积应</w:t>
      </w:r>
      <w:r>
        <w:rPr>
          <w:rFonts w:hint="eastAsia" w:ascii="仿宋_GB2312" w:hAnsi="仿宋_GB2312" w:eastAsia="仿宋_GB2312" w:cs="仿宋_GB2312"/>
          <w:snapToGrid w:val="0"/>
          <w:color w:val="auto"/>
          <w:kern w:val="0"/>
          <w:sz w:val="32"/>
          <w:szCs w:val="36"/>
          <w:u w:val="none"/>
          <w:lang w:val="en-US" w:eastAsia="zh-CN" w:bidi="ar-SA"/>
        </w:rPr>
        <w:t>在1000平方米以上，</w:t>
      </w:r>
      <w:r>
        <w:rPr>
          <w:rFonts w:hint="eastAsia" w:ascii="仿宋_GB2312" w:hAnsi="仿宋_GB2312" w:eastAsia="仿宋_GB2312" w:cs="仿宋_GB2312"/>
          <w:snapToGrid w:val="0"/>
          <w:color w:val="auto"/>
          <w:kern w:val="0"/>
          <w:sz w:val="32"/>
          <w:szCs w:val="36"/>
          <w:lang w:val="en-US" w:eastAsia="zh-CN" w:bidi="ar-SA"/>
        </w:rPr>
        <w:t>科研仪器设备原值应在2000万元以上。</w:t>
      </w:r>
    </w:p>
    <w:p w14:paraId="0FC09405">
      <w:pPr>
        <w:pStyle w:val="13"/>
        <w:keepNext w:val="0"/>
        <w:keepLines w:val="0"/>
        <w:pageBreakBefore w:val="0"/>
        <w:widowControl w:val="0"/>
        <w:suppressLineNumbers w:val="0"/>
        <w:kinsoku/>
        <w:wordWrap/>
        <w:overflowPunct/>
        <w:topLinePunct w:val="0"/>
        <w:autoSpaceDE/>
        <w:autoSpaceDN/>
        <w:bidi w:val="0"/>
        <w:adjustRightInd/>
        <w:snapToGrid/>
        <w:spacing w:line="580" w:lineRule="exact"/>
        <w:ind w:left="0" w:firstLine="640"/>
        <w:jc w:val="both"/>
        <w:textAlignment w:val="auto"/>
        <w:rPr>
          <w:rFonts w:hint="eastAsia" w:ascii="仿宋_GB2312" w:hAnsi="仿宋_GB2312" w:eastAsia="仿宋_GB2312" w:cs="仿宋_GB2312"/>
          <w:snapToGrid w:val="0"/>
          <w:color w:val="auto"/>
          <w:kern w:val="0"/>
          <w:sz w:val="32"/>
          <w:szCs w:val="36"/>
          <w:lang w:val="en-US" w:eastAsia="zh-CN" w:bidi="ar-SA"/>
        </w:rPr>
      </w:pPr>
      <w:r>
        <w:rPr>
          <w:rFonts w:hint="eastAsia" w:ascii="仿宋_GB2312" w:hAnsi="仿宋_GB2312" w:eastAsia="仿宋_GB2312" w:cs="仿宋_GB2312"/>
          <w:snapToGrid w:val="0"/>
          <w:color w:val="auto"/>
          <w:kern w:val="0"/>
          <w:sz w:val="32"/>
          <w:szCs w:val="36"/>
          <w:lang w:val="en-US" w:eastAsia="zh-CN" w:bidi="ar-SA"/>
        </w:rPr>
        <w:t>（4）未因严重违法失信行为被司法、行政机关依法列入联合惩戒对象名单。</w:t>
      </w:r>
    </w:p>
    <w:p w14:paraId="412925BC">
      <w:pPr>
        <w:pStyle w:val="13"/>
        <w:keepNext w:val="0"/>
        <w:keepLines w:val="0"/>
        <w:pageBreakBefore w:val="0"/>
        <w:widowControl w:val="0"/>
        <w:suppressLineNumbers w:val="0"/>
        <w:kinsoku/>
        <w:wordWrap/>
        <w:overflowPunct/>
        <w:topLinePunct w:val="0"/>
        <w:autoSpaceDE/>
        <w:autoSpaceDN/>
        <w:bidi w:val="0"/>
        <w:adjustRightInd/>
        <w:snapToGrid/>
        <w:spacing w:line="580" w:lineRule="exact"/>
        <w:ind w:left="0" w:firstLine="616" w:firstLineChars="200"/>
        <w:jc w:val="both"/>
        <w:textAlignment w:val="auto"/>
        <w:outlineLvl w:val="9"/>
        <w:rPr>
          <w:rFonts w:hint="eastAsia" w:ascii="仿宋_GB2312" w:hAnsi="仿宋_GB2312" w:eastAsia="仿宋_GB2312" w:cs="仿宋_GB2312"/>
          <w:b/>
          <w:bCs/>
          <w:snapToGrid w:val="0"/>
          <w:color w:val="auto"/>
          <w:kern w:val="0"/>
          <w:sz w:val="32"/>
          <w:szCs w:val="36"/>
          <w:lang w:val="en-US" w:eastAsia="zh-CN" w:bidi="ar-SA"/>
        </w:rPr>
      </w:pPr>
      <w:r>
        <w:rPr>
          <w:rFonts w:hint="eastAsia" w:ascii="仿宋_GB2312" w:hAnsi="仿宋_GB2312" w:eastAsia="仿宋_GB2312" w:cs="仿宋_GB2312"/>
          <w:b/>
          <w:bCs/>
          <w:snapToGrid w:val="0"/>
          <w:color w:val="auto"/>
          <w:kern w:val="0"/>
          <w:sz w:val="32"/>
          <w:szCs w:val="36"/>
          <w:lang w:val="en-US" w:eastAsia="zh-CN" w:bidi="ar-SA"/>
        </w:rPr>
        <w:t>2.关于自治区人工智能场景工程研究中心补充申报条件。</w:t>
      </w:r>
    </w:p>
    <w:p w14:paraId="7920A2C0">
      <w:pPr>
        <w:pStyle w:val="13"/>
        <w:keepNext w:val="0"/>
        <w:keepLines w:val="0"/>
        <w:pageBreakBefore w:val="0"/>
        <w:widowControl w:val="0"/>
        <w:suppressLineNumbers w:val="0"/>
        <w:kinsoku/>
        <w:wordWrap/>
        <w:overflowPunct/>
        <w:topLinePunct w:val="0"/>
        <w:autoSpaceDE/>
        <w:autoSpaceDN/>
        <w:bidi w:val="0"/>
        <w:adjustRightInd/>
        <w:snapToGrid/>
        <w:spacing w:line="580" w:lineRule="exact"/>
        <w:ind w:left="0" w:firstLine="640"/>
        <w:jc w:val="both"/>
        <w:textAlignment w:val="auto"/>
        <w:rPr>
          <w:rFonts w:hint="eastAsia" w:ascii="仿宋_GB2312" w:hAnsi="仿宋_GB2312" w:eastAsia="仿宋_GB2312" w:cs="仿宋_GB2312"/>
          <w:snapToGrid w:val="0"/>
          <w:color w:val="auto"/>
          <w:kern w:val="0"/>
          <w:sz w:val="32"/>
          <w:szCs w:val="36"/>
          <w:lang w:val="en-US" w:eastAsia="zh-CN" w:bidi="ar-SA"/>
        </w:rPr>
      </w:pPr>
      <w:r>
        <w:rPr>
          <w:rFonts w:hint="eastAsia" w:ascii="仿宋_GB2312" w:hAnsi="仿宋_GB2312" w:eastAsia="仿宋_GB2312" w:cs="仿宋_GB2312"/>
          <w:snapToGrid w:val="0"/>
          <w:color w:val="auto"/>
          <w:kern w:val="0"/>
          <w:sz w:val="32"/>
          <w:szCs w:val="36"/>
          <w:lang w:val="en-US" w:eastAsia="zh-CN" w:bidi="ar-SA"/>
        </w:rPr>
        <w:t>积极贯彻落实国家、自治区“人工智能+”行动部署，面向全区高校、科研院所、事业单位、中央驻桂企业（广西注册）、区直国企、民营企业等对象，单独或以创新联合体共同申报。申报单位需具备以下条件：</w:t>
      </w:r>
    </w:p>
    <w:p w14:paraId="1B4DD689">
      <w:pPr>
        <w:pStyle w:val="13"/>
        <w:keepNext w:val="0"/>
        <w:keepLines w:val="0"/>
        <w:pageBreakBefore w:val="0"/>
        <w:widowControl w:val="0"/>
        <w:suppressLineNumbers w:val="0"/>
        <w:kinsoku/>
        <w:wordWrap/>
        <w:overflowPunct/>
        <w:topLinePunct w:val="0"/>
        <w:autoSpaceDE/>
        <w:autoSpaceDN/>
        <w:bidi w:val="0"/>
        <w:adjustRightInd/>
        <w:snapToGrid/>
        <w:spacing w:line="580" w:lineRule="exact"/>
        <w:ind w:left="0" w:firstLine="640"/>
        <w:jc w:val="both"/>
        <w:textAlignment w:val="auto"/>
        <w:rPr>
          <w:rFonts w:hint="eastAsia" w:ascii="仿宋_GB2312" w:hAnsi="仿宋_GB2312" w:eastAsia="仿宋_GB2312" w:cs="仿宋_GB2312"/>
          <w:snapToGrid w:val="0"/>
          <w:color w:val="auto"/>
          <w:kern w:val="0"/>
          <w:sz w:val="32"/>
          <w:szCs w:val="36"/>
          <w:lang w:val="en-US" w:eastAsia="zh-CN" w:bidi="ar-SA"/>
        </w:rPr>
      </w:pPr>
      <w:r>
        <w:rPr>
          <w:rFonts w:hint="eastAsia" w:ascii="仿宋_GB2312" w:hAnsi="仿宋_GB2312" w:eastAsia="仿宋_GB2312" w:cs="仿宋_GB2312"/>
          <w:snapToGrid w:val="0"/>
          <w:color w:val="auto"/>
          <w:kern w:val="0"/>
          <w:sz w:val="32"/>
          <w:szCs w:val="36"/>
          <w:lang w:val="en-US" w:eastAsia="zh-CN" w:bidi="ar-SA"/>
        </w:rPr>
        <w:t>（1）申报单位围绕人工智能赋能医疗、教育、交通、文旅、农业、制造、金融、应急、物流、能源、科学、环保、政务、社会治理等千行百业，以场景创新为牵引，重点突出关键核心技术攻关、产品产业化落地、行业领域服务应用等功能，以“小切口”做好高质量发展“大文章”。申报单位仅限选择一个行业领域申报，使用“自治区人工智能</w:t>
      </w:r>
      <w:r>
        <w:rPr>
          <w:rFonts w:hint="default" w:ascii="仿宋_GB2312" w:hAnsi="仿宋_GB2312" w:eastAsia="仿宋_GB2312" w:cs="仿宋_GB2312"/>
          <w:snapToGrid w:val="0"/>
          <w:color w:val="auto"/>
          <w:kern w:val="0"/>
          <w:sz w:val="32"/>
          <w:szCs w:val="36"/>
          <w:lang w:val="en-US" w:eastAsia="zh-CN" w:bidi="ar-SA"/>
        </w:rPr>
        <w:t>XX</w:t>
      </w:r>
      <w:r>
        <w:rPr>
          <w:rFonts w:hint="eastAsia" w:ascii="仿宋_GB2312" w:hAnsi="仿宋_GB2312" w:eastAsia="仿宋_GB2312" w:cs="仿宋_GB2312"/>
          <w:snapToGrid w:val="0"/>
          <w:color w:val="auto"/>
          <w:kern w:val="0"/>
          <w:sz w:val="32"/>
          <w:szCs w:val="36"/>
          <w:lang w:val="en-US" w:eastAsia="zh-CN" w:bidi="ar-SA"/>
        </w:rPr>
        <w:t>场景工程研究中心”名称。</w:t>
      </w:r>
    </w:p>
    <w:p w14:paraId="3AC2300F">
      <w:pPr>
        <w:pStyle w:val="13"/>
        <w:keepNext w:val="0"/>
        <w:keepLines w:val="0"/>
        <w:pageBreakBefore w:val="0"/>
        <w:widowControl w:val="0"/>
        <w:suppressLineNumbers w:val="0"/>
        <w:kinsoku/>
        <w:wordWrap/>
        <w:overflowPunct/>
        <w:topLinePunct w:val="0"/>
        <w:autoSpaceDE/>
        <w:autoSpaceDN/>
        <w:bidi w:val="0"/>
        <w:adjustRightInd/>
        <w:snapToGrid/>
        <w:spacing w:line="580" w:lineRule="exact"/>
        <w:ind w:left="0" w:firstLine="640"/>
        <w:jc w:val="both"/>
        <w:textAlignment w:val="auto"/>
        <w:rPr>
          <w:rFonts w:hint="eastAsia" w:ascii="仿宋_GB2312" w:hAnsi="仿宋_GB2312" w:eastAsia="仿宋_GB2312" w:cs="仿宋_GB2312"/>
          <w:snapToGrid w:val="0"/>
          <w:color w:val="auto"/>
          <w:kern w:val="0"/>
          <w:sz w:val="32"/>
          <w:szCs w:val="36"/>
          <w:lang w:val="en-US" w:eastAsia="zh-CN" w:bidi="ar-SA"/>
        </w:rPr>
      </w:pPr>
      <w:r>
        <w:rPr>
          <w:rFonts w:hint="eastAsia" w:ascii="仿宋_GB2312" w:hAnsi="仿宋_GB2312" w:eastAsia="仿宋_GB2312" w:cs="仿宋_GB2312"/>
          <w:snapToGrid w:val="0"/>
          <w:color w:val="auto"/>
          <w:kern w:val="0"/>
          <w:sz w:val="32"/>
          <w:szCs w:val="36"/>
          <w:lang w:val="en-US" w:eastAsia="zh-CN" w:bidi="ar-SA"/>
        </w:rPr>
        <w:t>（2）拟建设的自治区人工智能场景工程研究中心坚持“软硬”结合，发展思路清晰，任务目标明确，在体制机制建立、垂直大模型开发、产业生态构建、合作交流、伦理治理等领域均较为规范，且具备行业场景策划、论证、转化、应用、生效等全过程能力。</w:t>
      </w:r>
    </w:p>
    <w:p w14:paraId="4B20BF98">
      <w:pPr>
        <w:pStyle w:val="13"/>
        <w:keepNext w:val="0"/>
        <w:keepLines w:val="0"/>
        <w:pageBreakBefore w:val="0"/>
        <w:widowControl w:val="0"/>
        <w:suppressLineNumbers w:val="0"/>
        <w:kinsoku/>
        <w:wordWrap/>
        <w:overflowPunct/>
        <w:topLinePunct w:val="0"/>
        <w:autoSpaceDE/>
        <w:autoSpaceDN/>
        <w:bidi w:val="0"/>
        <w:adjustRightInd/>
        <w:snapToGrid/>
        <w:spacing w:line="600" w:lineRule="exact"/>
        <w:ind w:left="0" w:firstLine="640"/>
        <w:jc w:val="both"/>
        <w:textAlignment w:val="auto"/>
        <w:rPr>
          <w:rFonts w:hint="eastAsia" w:ascii="仿宋_GB2312" w:hAnsi="仿宋_GB2312" w:eastAsia="仿宋_GB2312" w:cs="仿宋_GB2312"/>
          <w:snapToGrid w:val="0"/>
          <w:color w:val="auto"/>
          <w:kern w:val="0"/>
          <w:sz w:val="32"/>
          <w:szCs w:val="36"/>
          <w:lang w:val="en-US" w:eastAsia="zh-CN" w:bidi="ar-SA"/>
        </w:rPr>
      </w:pPr>
      <w:r>
        <w:rPr>
          <w:rFonts w:hint="eastAsia" w:ascii="仿宋_GB2312" w:hAnsi="仿宋_GB2312" w:eastAsia="仿宋_GB2312" w:cs="仿宋_GB2312"/>
          <w:snapToGrid w:val="0"/>
          <w:color w:val="auto"/>
          <w:kern w:val="0"/>
          <w:sz w:val="32"/>
          <w:szCs w:val="36"/>
          <w:lang w:val="en-US" w:eastAsia="zh-CN" w:bidi="ar-SA"/>
        </w:rPr>
        <w:t>（3）申报单位具有AI行业大模型、计算机视觉、智能语音、自然语言处理、智能机器人等关键核心技术攻关，具备AI行业软硬件产品应用服务能力。具有较高水平的研究开发和技术集成能力及相应的人才队伍，AI技术创新团队人员占总研发人员比例达1/5以上。</w:t>
      </w:r>
    </w:p>
    <w:p w14:paraId="02E86986">
      <w:pPr>
        <w:pStyle w:val="13"/>
        <w:keepNext w:val="0"/>
        <w:keepLines w:val="0"/>
        <w:pageBreakBefore w:val="0"/>
        <w:widowControl w:val="0"/>
        <w:suppressLineNumbers w:val="0"/>
        <w:kinsoku/>
        <w:wordWrap/>
        <w:overflowPunct/>
        <w:topLinePunct w:val="0"/>
        <w:autoSpaceDE/>
        <w:autoSpaceDN/>
        <w:bidi w:val="0"/>
        <w:adjustRightInd/>
        <w:snapToGrid/>
        <w:spacing w:line="600" w:lineRule="exact"/>
        <w:ind w:left="0" w:firstLine="640"/>
        <w:jc w:val="both"/>
        <w:textAlignment w:val="auto"/>
        <w:rPr>
          <w:rFonts w:hint="eastAsia" w:ascii="仿宋_GB2312" w:hAnsi="仿宋_GB2312" w:eastAsia="仿宋_GB2312" w:cs="仿宋_GB2312"/>
          <w:snapToGrid w:val="0"/>
          <w:color w:val="auto"/>
          <w:kern w:val="0"/>
          <w:sz w:val="32"/>
          <w:szCs w:val="36"/>
          <w:lang w:val="en-US" w:eastAsia="zh-CN" w:bidi="ar-SA"/>
        </w:rPr>
      </w:pPr>
      <w:r>
        <w:rPr>
          <w:rFonts w:hint="eastAsia" w:ascii="仿宋_GB2312" w:hAnsi="仿宋_GB2312" w:eastAsia="仿宋_GB2312" w:cs="仿宋_GB2312"/>
          <w:snapToGrid w:val="0"/>
          <w:color w:val="auto"/>
          <w:kern w:val="0"/>
          <w:sz w:val="32"/>
          <w:szCs w:val="36"/>
          <w:lang w:val="en-US" w:eastAsia="zh-CN" w:bidi="ar-SA"/>
        </w:rPr>
        <w:t>（4）申报单位需具备高性能计算、大数据存储等基础设施，从事AI科研仪器设备原值应在2000万元以上。</w:t>
      </w:r>
    </w:p>
    <w:p w14:paraId="738A6465">
      <w:pPr>
        <w:pStyle w:val="13"/>
        <w:keepNext w:val="0"/>
        <w:keepLines w:val="0"/>
        <w:pageBreakBefore w:val="0"/>
        <w:widowControl w:val="0"/>
        <w:suppressLineNumbers w:val="0"/>
        <w:kinsoku/>
        <w:wordWrap/>
        <w:overflowPunct/>
        <w:topLinePunct w:val="0"/>
        <w:autoSpaceDE/>
        <w:autoSpaceDN/>
        <w:bidi w:val="0"/>
        <w:adjustRightInd/>
        <w:snapToGrid/>
        <w:spacing w:line="600" w:lineRule="exact"/>
        <w:ind w:left="0" w:firstLine="640"/>
        <w:jc w:val="both"/>
        <w:textAlignment w:val="auto"/>
        <w:rPr>
          <w:rFonts w:hint="eastAsia" w:ascii="仿宋_GB2312" w:hAnsi="仿宋_GB2312" w:eastAsia="仿宋_GB2312" w:cs="仿宋_GB2312"/>
          <w:snapToGrid w:val="0"/>
          <w:color w:val="auto"/>
          <w:kern w:val="0"/>
          <w:sz w:val="32"/>
          <w:szCs w:val="36"/>
          <w:lang w:val="en-US" w:eastAsia="zh-CN" w:bidi="ar-SA"/>
        </w:rPr>
      </w:pPr>
      <w:r>
        <w:rPr>
          <w:rFonts w:hint="eastAsia" w:ascii="仿宋_GB2312" w:hAnsi="仿宋_GB2312" w:eastAsia="仿宋_GB2312" w:cs="仿宋_GB2312"/>
          <w:snapToGrid w:val="0"/>
          <w:color w:val="auto"/>
          <w:kern w:val="0"/>
          <w:sz w:val="32"/>
          <w:szCs w:val="36"/>
          <w:lang w:val="en-US" w:eastAsia="zh-CN" w:bidi="ar-SA"/>
        </w:rPr>
        <w:t>（5）未因严重违法失信行为被司法、行政机关依法列入联合惩戒对象名单。</w:t>
      </w:r>
    </w:p>
    <w:p w14:paraId="5DC6F164">
      <w:pPr>
        <w:pStyle w:val="13"/>
        <w:keepNext w:val="0"/>
        <w:keepLines w:val="0"/>
        <w:pageBreakBefore w:val="0"/>
        <w:widowControl w:val="0"/>
        <w:suppressLineNumbers w:val="0"/>
        <w:kinsoku/>
        <w:wordWrap/>
        <w:overflowPunct/>
        <w:topLinePunct w:val="0"/>
        <w:autoSpaceDE/>
        <w:autoSpaceDN/>
        <w:bidi w:val="0"/>
        <w:adjustRightInd/>
        <w:snapToGrid/>
        <w:spacing w:line="600" w:lineRule="exact"/>
        <w:ind w:left="0" w:firstLine="640"/>
        <w:jc w:val="both"/>
        <w:textAlignment w:val="auto"/>
        <w:rPr>
          <w:rFonts w:hint="eastAsia" w:ascii="仿宋_GB2312" w:hAnsi="仿宋_GB2312" w:eastAsia="仿宋_GB2312" w:cs="仿宋_GB2312"/>
          <w:snapToGrid w:val="0"/>
          <w:color w:val="auto"/>
          <w:kern w:val="0"/>
          <w:sz w:val="32"/>
          <w:szCs w:val="36"/>
          <w:lang w:val="en-US" w:eastAsia="zh-CN" w:bidi="ar-SA"/>
        </w:rPr>
      </w:pPr>
      <w:r>
        <w:rPr>
          <w:rFonts w:hint="eastAsia" w:ascii="仿宋_GB2312" w:hAnsi="仿宋_GB2312" w:eastAsia="仿宋_GB2312" w:cs="仿宋_GB2312"/>
          <w:snapToGrid w:val="0"/>
          <w:color w:val="auto"/>
          <w:kern w:val="0"/>
          <w:sz w:val="32"/>
          <w:szCs w:val="36"/>
          <w:lang w:val="en-US" w:eastAsia="zh-CN" w:bidi="ar-SA"/>
        </w:rPr>
        <w:t>（6）优先支持“场景创新有办法、场景落地有成效、场景推广有经验”等方面有成功案例的单位。</w:t>
      </w:r>
    </w:p>
    <w:p w14:paraId="2896E58E">
      <w:pPr>
        <w:pStyle w:val="13"/>
        <w:keepNext w:val="0"/>
        <w:keepLines w:val="0"/>
        <w:pageBreakBefore w:val="0"/>
        <w:widowControl w:val="0"/>
        <w:suppressLineNumbers w:val="0"/>
        <w:kinsoku/>
        <w:wordWrap/>
        <w:overflowPunct/>
        <w:topLinePunct w:val="0"/>
        <w:autoSpaceDE/>
        <w:autoSpaceDN/>
        <w:bidi w:val="0"/>
        <w:adjustRightInd/>
        <w:snapToGrid/>
        <w:spacing w:line="600" w:lineRule="exact"/>
        <w:ind w:left="0" w:firstLine="616" w:firstLineChars="200"/>
        <w:jc w:val="both"/>
        <w:textAlignment w:val="auto"/>
        <w:outlineLvl w:val="9"/>
        <w:rPr>
          <w:rFonts w:hint="eastAsia" w:ascii="楷体_GB2312" w:hAnsi="楷体_GB2312" w:eastAsia="楷体_GB2312" w:cs="楷体_GB2312"/>
          <w:b/>
          <w:bCs/>
          <w:color w:val="000000"/>
          <w:sz w:val="32"/>
          <w:szCs w:val="36"/>
          <w:lang w:eastAsia="zh-CN"/>
        </w:rPr>
      </w:pPr>
      <w:r>
        <w:rPr>
          <w:rFonts w:hint="eastAsia" w:ascii="楷体_GB2312" w:hAnsi="楷体_GB2312" w:eastAsia="楷体_GB2312" w:cs="楷体_GB2312"/>
          <w:b/>
          <w:bCs/>
          <w:color w:val="000000"/>
          <w:sz w:val="32"/>
          <w:szCs w:val="36"/>
          <w:lang w:eastAsia="zh-CN"/>
        </w:rPr>
        <w:t>（二）申报数量。</w:t>
      </w:r>
    </w:p>
    <w:p w14:paraId="1090FFE2">
      <w:pPr>
        <w:pStyle w:val="13"/>
        <w:keepNext w:val="0"/>
        <w:keepLines w:val="0"/>
        <w:pageBreakBefore w:val="0"/>
        <w:widowControl w:val="0"/>
        <w:suppressLineNumbers w:val="0"/>
        <w:kinsoku/>
        <w:wordWrap/>
        <w:overflowPunct/>
        <w:topLinePunct w:val="0"/>
        <w:autoSpaceDE/>
        <w:autoSpaceDN/>
        <w:bidi w:val="0"/>
        <w:adjustRightInd/>
        <w:snapToGrid/>
        <w:spacing w:line="600" w:lineRule="exact"/>
        <w:ind w:left="0" w:firstLine="640"/>
        <w:jc w:val="both"/>
        <w:textAlignment w:val="auto"/>
        <w:rPr>
          <w:rFonts w:hint="eastAsia" w:ascii="仿宋_GB2312" w:hAnsi="仿宋_GB2312" w:eastAsia="仿宋_GB2312" w:cs="仿宋_GB2312"/>
          <w:snapToGrid w:val="0"/>
          <w:color w:val="auto"/>
          <w:kern w:val="0"/>
          <w:sz w:val="32"/>
          <w:szCs w:val="36"/>
          <w:lang w:val="en-US" w:eastAsia="zh-CN" w:bidi="ar-SA"/>
        </w:rPr>
      </w:pPr>
      <w:r>
        <w:rPr>
          <w:rFonts w:hint="eastAsia" w:ascii="仿宋_GB2312" w:hAnsi="仿宋_GB2312" w:eastAsia="仿宋_GB2312" w:cs="仿宋_GB2312"/>
          <w:snapToGrid w:val="0"/>
          <w:color w:val="auto"/>
          <w:kern w:val="0"/>
          <w:sz w:val="32"/>
          <w:szCs w:val="36"/>
          <w:lang w:val="en-US" w:eastAsia="zh-CN" w:bidi="ar-SA"/>
        </w:rPr>
        <w:t>1.各市发展改革委按照属地原则，自治区工程研究中心择优推荐申报数量不超过</w:t>
      </w:r>
      <w:r>
        <w:rPr>
          <w:rFonts w:hint="default" w:ascii="仿宋_GB2312" w:hAnsi="仿宋_GB2312" w:eastAsia="仿宋_GB2312" w:cs="仿宋_GB2312"/>
          <w:snapToGrid w:val="0"/>
          <w:color w:val="auto"/>
          <w:kern w:val="0"/>
          <w:sz w:val="32"/>
          <w:szCs w:val="36"/>
          <w:lang w:val="en-US" w:eastAsia="zh-CN" w:bidi="ar-SA"/>
        </w:rPr>
        <w:t>3</w:t>
      </w:r>
      <w:r>
        <w:rPr>
          <w:rFonts w:hint="eastAsia" w:ascii="仿宋_GB2312" w:hAnsi="仿宋_GB2312" w:eastAsia="仿宋_GB2312" w:cs="仿宋_GB2312"/>
          <w:snapToGrid w:val="0"/>
          <w:color w:val="auto"/>
          <w:kern w:val="0"/>
          <w:sz w:val="32"/>
          <w:szCs w:val="36"/>
          <w:lang w:val="en-US" w:eastAsia="zh-CN" w:bidi="ar-SA"/>
        </w:rPr>
        <w:t>个，自治区人工智能场景工程研究中心申报数量不超过</w:t>
      </w:r>
      <w:r>
        <w:rPr>
          <w:rFonts w:hint="default" w:ascii="仿宋_GB2312" w:hAnsi="仿宋_GB2312" w:eastAsia="仿宋_GB2312" w:cs="仿宋_GB2312"/>
          <w:snapToGrid w:val="0"/>
          <w:color w:val="auto"/>
          <w:kern w:val="0"/>
          <w:sz w:val="32"/>
          <w:szCs w:val="36"/>
          <w:lang w:val="en-US" w:eastAsia="zh-CN" w:bidi="ar-SA"/>
        </w:rPr>
        <w:t>1</w:t>
      </w:r>
      <w:r>
        <w:rPr>
          <w:rFonts w:hint="eastAsia" w:ascii="仿宋_GB2312" w:hAnsi="仿宋_GB2312" w:eastAsia="仿宋_GB2312" w:cs="仿宋_GB2312"/>
          <w:snapToGrid w:val="0"/>
          <w:color w:val="auto"/>
          <w:kern w:val="0"/>
          <w:sz w:val="32"/>
          <w:szCs w:val="36"/>
          <w:lang w:val="en-US" w:eastAsia="zh-CN" w:bidi="ar-SA"/>
        </w:rPr>
        <w:t>个。</w:t>
      </w:r>
    </w:p>
    <w:p w14:paraId="66C8C60C">
      <w:pPr>
        <w:pStyle w:val="13"/>
        <w:keepNext w:val="0"/>
        <w:keepLines w:val="0"/>
        <w:pageBreakBefore w:val="0"/>
        <w:widowControl w:val="0"/>
        <w:suppressLineNumbers w:val="0"/>
        <w:kinsoku/>
        <w:wordWrap/>
        <w:overflowPunct/>
        <w:topLinePunct w:val="0"/>
        <w:autoSpaceDE/>
        <w:autoSpaceDN/>
        <w:bidi w:val="0"/>
        <w:adjustRightInd/>
        <w:snapToGrid/>
        <w:spacing w:line="600" w:lineRule="exact"/>
        <w:ind w:left="0" w:firstLine="640"/>
        <w:jc w:val="both"/>
        <w:textAlignment w:val="auto"/>
        <w:rPr>
          <w:rFonts w:hint="eastAsia" w:ascii="仿宋_GB2312" w:hAnsi="仿宋_GB2312" w:eastAsia="仿宋_GB2312" w:cs="仿宋_GB2312"/>
          <w:snapToGrid w:val="0"/>
          <w:color w:val="auto"/>
          <w:kern w:val="0"/>
          <w:sz w:val="32"/>
          <w:szCs w:val="36"/>
          <w:lang w:val="en-US" w:eastAsia="zh-CN" w:bidi="ar-SA"/>
        </w:rPr>
      </w:pPr>
      <w:r>
        <w:rPr>
          <w:rFonts w:hint="eastAsia" w:ascii="仿宋_GB2312" w:hAnsi="仿宋_GB2312" w:eastAsia="仿宋_GB2312" w:cs="仿宋_GB2312"/>
          <w:snapToGrid w:val="0"/>
          <w:color w:val="auto"/>
          <w:kern w:val="0"/>
          <w:sz w:val="32"/>
          <w:szCs w:val="36"/>
          <w:lang w:val="en-US" w:eastAsia="zh-CN" w:bidi="ar-SA"/>
        </w:rPr>
        <w:t>2.自治区各有关单位（区属企业、区属高校、区属科研院所、区属医院等企事业单位），自治区工程研究中心和自治区人工智能场景工程研究中心推荐申报数量各不超过1个。</w:t>
      </w:r>
    </w:p>
    <w:p w14:paraId="6729C186">
      <w:pPr>
        <w:pStyle w:val="13"/>
        <w:keepNext w:val="0"/>
        <w:keepLines w:val="0"/>
        <w:pageBreakBefore w:val="0"/>
        <w:widowControl w:val="0"/>
        <w:suppressLineNumbers w:val="0"/>
        <w:kinsoku/>
        <w:wordWrap/>
        <w:overflowPunct/>
        <w:topLinePunct w:val="0"/>
        <w:autoSpaceDE/>
        <w:autoSpaceDN/>
        <w:bidi w:val="0"/>
        <w:adjustRightInd/>
        <w:snapToGrid/>
        <w:spacing w:line="600" w:lineRule="exact"/>
        <w:ind w:left="0" w:firstLine="616" w:firstLineChars="200"/>
        <w:jc w:val="both"/>
        <w:textAlignment w:val="auto"/>
        <w:outlineLvl w:val="9"/>
        <w:rPr>
          <w:rFonts w:hint="eastAsia" w:ascii="楷体_GB2312" w:hAnsi="楷体_GB2312" w:eastAsia="楷体_GB2312" w:cs="楷体_GB2312"/>
          <w:b/>
          <w:bCs/>
          <w:color w:val="000000"/>
          <w:sz w:val="32"/>
          <w:szCs w:val="36"/>
          <w:lang w:eastAsia="zh-CN"/>
        </w:rPr>
      </w:pPr>
      <w:r>
        <w:rPr>
          <w:rFonts w:hint="eastAsia" w:ascii="楷体_GB2312" w:hAnsi="楷体_GB2312" w:eastAsia="楷体_GB2312" w:cs="楷体_GB2312"/>
          <w:b/>
          <w:bCs/>
          <w:color w:val="000000"/>
          <w:sz w:val="32"/>
          <w:szCs w:val="36"/>
          <w:lang w:eastAsia="zh-CN"/>
        </w:rPr>
        <w:t>（三）认定程序。</w:t>
      </w:r>
    </w:p>
    <w:p w14:paraId="2DAE3D57">
      <w:pPr>
        <w:pStyle w:val="13"/>
        <w:keepNext w:val="0"/>
        <w:keepLines w:val="0"/>
        <w:pageBreakBefore w:val="0"/>
        <w:widowControl w:val="0"/>
        <w:suppressLineNumbers w:val="0"/>
        <w:kinsoku/>
        <w:wordWrap/>
        <w:overflowPunct/>
        <w:topLinePunct w:val="0"/>
        <w:autoSpaceDE/>
        <w:autoSpaceDN/>
        <w:bidi w:val="0"/>
        <w:adjustRightInd/>
        <w:snapToGrid/>
        <w:spacing w:line="600" w:lineRule="exact"/>
        <w:ind w:left="0" w:firstLine="640"/>
        <w:jc w:val="both"/>
        <w:textAlignment w:val="auto"/>
        <w:rPr>
          <w:rFonts w:hint="eastAsia" w:ascii="仿宋_GB2312" w:hAnsi="仿宋_GB2312" w:eastAsia="仿宋_GB2312" w:cs="仿宋_GB2312"/>
          <w:snapToGrid w:val="0"/>
          <w:color w:val="auto"/>
          <w:kern w:val="0"/>
          <w:sz w:val="32"/>
          <w:szCs w:val="36"/>
          <w:lang w:val="en-US" w:eastAsia="zh-CN" w:bidi="ar-SA"/>
        </w:rPr>
      </w:pPr>
      <w:r>
        <w:rPr>
          <w:rFonts w:hint="eastAsia" w:ascii="仿宋_GB2312" w:hAnsi="仿宋_GB2312" w:eastAsia="仿宋_GB2312" w:cs="仿宋_GB2312"/>
          <w:b/>
          <w:bCs/>
          <w:snapToGrid w:val="0"/>
          <w:color w:val="auto"/>
          <w:kern w:val="0"/>
          <w:sz w:val="32"/>
          <w:szCs w:val="36"/>
          <w:lang w:val="en-US" w:eastAsia="zh-CN" w:bidi="ar-SA"/>
        </w:rPr>
        <w:t>1.初筛。</w:t>
      </w:r>
      <w:r>
        <w:rPr>
          <w:rFonts w:hint="eastAsia" w:ascii="仿宋_GB2312" w:hAnsi="仿宋_GB2312" w:eastAsia="仿宋_GB2312" w:cs="仿宋_GB2312"/>
          <w:snapToGrid w:val="0"/>
          <w:color w:val="auto"/>
          <w:kern w:val="0"/>
          <w:sz w:val="32"/>
          <w:szCs w:val="36"/>
          <w:lang w:val="en-US" w:eastAsia="zh-CN" w:bidi="ar-SA"/>
        </w:rPr>
        <w:t>区直各有关单位、各设区市发展改革委对照《管理办法》和通知要求，对拟申报材料的完整性及真实性进行筛查，不符合申报条件的直接淘汰。</w:t>
      </w:r>
    </w:p>
    <w:p w14:paraId="76947FD6">
      <w:pPr>
        <w:pStyle w:val="13"/>
        <w:keepNext w:val="0"/>
        <w:keepLines w:val="0"/>
        <w:pageBreakBefore w:val="0"/>
        <w:widowControl w:val="0"/>
        <w:suppressLineNumbers w:val="0"/>
        <w:kinsoku/>
        <w:wordWrap/>
        <w:overflowPunct/>
        <w:topLinePunct w:val="0"/>
        <w:autoSpaceDE/>
        <w:autoSpaceDN/>
        <w:bidi w:val="0"/>
        <w:adjustRightInd/>
        <w:snapToGrid/>
        <w:ind w:left="0" w:firstLine="640"/>
        <w:jc w:val="both"/>
        <w:textAlignment w:val="auto"/>
        <w:rPr>
          <w:rFonts w:hint="eastAsia" w:ascii="仿宋_GB2312" w:hAnsi="仿宋_GB2312" w:eastAsia="仿宋_GB2312" w:cs="仿宋_GB2312"/>
          <w:snapToGrid w:val="0"/>
          <w:color w:val="auto"/>
          <w:kern w:val="0"/>
          <w:sz w:val="32"/>
          <w:szCs w:val="36"/>
          <w:lang w:val="en-US" w:eastAsia="zh-CN" w:bidi="ar-SA"/>
        </w:rPr>
      </w:pPr>
      <w:r>
        <w:rPr>
          <w:rFonts w:hint="eastAsia" w:ascii="仿宋_GB2312" w:hAnsi="仿宋_GB2312" w:eastAsia="仿宋_GB2312" w:cs="仿宋_GB2312"/>
          <w:b/>
          <w:bCs/>
          <w:snapToGrid w:val="0"/>
          <w:color w:val="auto"/>
          <w:kern w:val="0"/>
          <w:sz w:val="32"/>
          <w:szCs w:val="36"/>
          <w:lang w:val="en-US" w:eastAsia="zh-CN" w:bidi="ar-SA"/>
        </w:rPr>
        <w:t>2.评审</w:t>
      </w:r>
      <w:r>
        <w:rPr>
          <w:rFonts w:hint="eastAsia" w:ascii="仿宋_GB2312" w:hAnsi="仿宋_GB2312" w:eastAsia="仿宋_GB2312" w:cs="仿宋_GB2312"/>
          <w:snapToGrid w:val="0"/>
          <w:color w:val="auto"/>
          <w:kern w:val="0"/>
          <w:sz w:val="32"/>
          <w:szCs w:val="36"/>
          <w:lang w:val="en-US" w:eastAsia="zh-CN" w:bidi="ar-SA"/>
        </w:rPr>
        <w:t>。自治区发展改革委邀请相关领域专家依据评分标准对申报材料进行评审，择优确定答辩名单。</w:t>
      </w:r>
    </w:p>
    <w:p w14:paraId="6300722F">
      <w:pPr>
        <w:pStyle w:val="13"/>
        <w:keepNext w:val="0"/>
        <w:keepLines w:val="0"/>
        <w:pageBreakBefore w:val="0"/>
        <w:widowControl w:val="0"/>
        <w:suppressLineNumbers w:val="0"/>
        <w:kinsoku/>
        <w:wordWrap/>
        <w:overflowPunct/>
        <w:topLinePunct w:val="0"/>
        <w:autoSpaceDE/>
        <w:autoSpaceDN/>
        <w:bidi w:val="0"/>
        <w:adjustRightInd/>
        <w:snapToGrid/>
        <w:ind w:left="0" w:firstLine="640"/>
        <w:jc w:val="both"/>
        <w:textAlignment w:val="auto"/>
        <w:rPr>
          <w:rFonts w:hint="eastAsia" w:ascii="仿宋_GB2312" w:hAnsi="仿宋_GB2312" w:eastAsia="仿宋_GB2312" w:cs="仿宋_GB2312"/>
          <w:snapToGrid w:val="0"/>
          <w:color w:val="auto"/>
          <w:kern w:val="0"/>
          <w:sz w:val="32"/>
          <w:szCs w:val="36"/>
          <w:lang w:val="en-US" w:eastAsia="zh-CN" w:bidi="ar-SA"/>
        </w:rPr>
      </w:pPr>
      <w:r>
        <w:rPr>
          <w:rFonts w:hint="eastAsia" w:ascii="仿宋_GB2312" w:hAnsi="仿宋_GB2312" w:eastAsia="仿宋_GB2312" w:cs="仿宋_GB2312"/>
          <w:b/>
          <w:bCs/>
          <w:snapToGrid w:val="0"/>
          <w:color w:val="auto"/>
          <w:kern w:val="0"/>
          <w:sz w:val="32"/>
          <w:szCs w:val="36"/>
          <w:lang w:val="en-US" w:eastAsia="zh-CN" w:bidi="ar-SA"/>
        </w:rPr>
        <w:t>3.答辩</w:t>
      </w:r>
      <w:r>
        <w:rPr>
          <w:rFonts w:hint="eastAsia" w:ascii="仿宋_GB2312" w:hAnsi="仿宋_GB2312" w:eastAsia="仿宋_GB2312" w:cs="仿宋_GB2312"/>
          <w:snapToGrid w:val="0"/>
          <w:color w:val="auto"/>
          <w:kern w:val="0"/>
          <w:sz w:val="32"/>
          <w:szCs w:val="36"/>
          <w:lang w:val="en-US" w:eastAsia="zh-CN" w:bidi="ar-SA"/>
        </w:rPr>
        <w:t>。自治区发展改革委邀请相关领域专家对申报单位的建设基础、发展定位、产业化能力、服务应用效果、未来市场格局等内容进行质询，并形成答辩分数排序名单。</w:t>
      </w:r>
    </w:p>
    <w:p w14:paraId="7CF556D7">
      <w:pPr>
        <w:pStyle w:val="13"/>
        <w:keepNext w:val="0"/>
        <w:keepLines w:val="0"/>
        <w:pageBreakBefore w:val="0"/>
        <w:widowControl w:val="0"/>
        <w:suppressLineNumbers w:val="0"/>
        <w:kinsoku/>
        <w:wordWrap/>
        <w:overflowPunct/>
        <w:topLinePunct w:val="0"/>
        <w:autoSpaceDE/>
        <w:autoSpaceDN/>
        <w:bidi w:val="0"/>
        <w:adjustRightInd/>
        <w:snapToGrid/>
        <w:ind w:left="0" w:firstLine="640"/>
        <w:jc w:val="both"/>
        <w:textAlignment w:val="auto"/>
        <w:rPr>
          <w:rFonts w:hint="eastAsia" w:ascii="仿宋_GB2312" w:hAnsi="仿宋_GB2312" w:eastAsia="仿宋_GB2312" w:cs="仿宋_GB2312"/>
          <w:snapToGrid w:val="0"/>
          <w:color w:val="auto"/>
          <w:kern w:val="0"/>
          <w:sz w:val="32"/>
          <w:szCs w:val="36"/>
          <w:lang w:val="en-US" w:eastAsia="zh-CN" w:bidi="ar-SA"/>
        </w:rPr>
      </w:pPr>
      <w:r>
        <w:rPr>
          <w:rFonts w:hint="eastAsia" w:ascii="仿宋_GB2312" w:hAnsi="仿宋_GB2312" w:eastAsia="仿宋_GB2312" w:cs="仿宋_GB2312"/>
          <w:b/>
          <w:bCs/>
          <w:snapToGrid w:val="0"/>
          <w:color w:val="auto"/>
          <w:kern w:val="0"/>
          <w:sz w:val="32"/>
          <w:szCs w:val="36"/>
          <w:lang w:val="en-US" w:eastAsia="zh-CN" w:bidi="ar-SA"/>
        </w:rPr>
        <w:t>4.核定</w:t>
      </w:r>
      <w:r>
        <w:rPr>
          <w:rFonts w:hint="eastAsia" w:ascii="仿宋_GB2312" w:hAnsi="仿宋_GB2312" w:eastAsia="仿宋_GB2312" w:cs="仿宋_GB2312"/>
          <w:snapToGrid w:val="0"/>
          <w:color w:val="auto"/>
          <w:kern w:val="0"/>
          <w:sz w:val="32"/>
          <w:szCs w:val="36"/>
          <w:lang w:val="en-US" w:eastAsia="zh-CN" w:bidi="ar-SA"/>
        </w:rPr>
        <w:t>。在评分结果顺序的基础上，结合重点产业原则、协调布局原则及场景策划转化能力，择优确定2025年自治区工程研究中心和自治区人工智能场景工程研究中心认定名单。</w:t>
      </w:r>
    </w:p>
    <w:p w14:paraId="61A30F5E">
      <w:pPr>
        <w:pStyle w:val="13"/>
        <w:keepNext w:val="0"/>
        <w:keepLines w:val="0"/>
        <w:pageBreakBefore w:val="0"/>
        <w:widowControl w:val="0"/>
        <w:suppressLineNumbers w:val="0"/>
        <w:kinsoku/>
        <w:wordWrap/>
        <w:overflowPunct/>
        <w:topLinePunct w:val="0"/>
        <w:autoSpaceDE/>
        <w:autoSpaceDN/>
        <w:bidi w:val="0"/>
        <w:adjustRightInd/>
        <w:snapToGrid/>
        <w:ind w:left="0" w:firstLine="640"/>
        <w:jc w:val="both"/>
        <w:textAlignment w:val="auto"/>
        <w:rPr>
          <w:rFonts w:hint="eastAsia" w:ascii="仿宋_GB2312" w:hAnsi="仿宋_GB2312" w:eastAsia="仿宋_GB2312" w:cs="仿宋_GB2312"/>
          <w:snapToGrid w:val="0"/>
          <w:color w:val="auto"/>
          <w:kern w:val="0"/>
          <w:sz w:val="32"/>
          <w:szCs w:val="36"/>
          <w:lang w:val="en-US" w:eastAsia="zh-CN" w:bidi="ar-SA"/>
        </w:rPr>
      </w:pPr>
      <w:r>
        <w:rPr>
          <w:rFonts w:hint="eastAsia" w:ascii="仿宋_GB2312" w:hAnsi="仿宋_GB2312" w:eastAsia="仿宋_GB2312" w:cs="仿宋_GB2312"/>
          <w:b/>
          <w:bCs/>
          <w:snapToGrid w:val="0"/>
          <w:color w:val="auto"/>
          <w:kern w:val="0"/>
          <w:sz w:val="32"/>
          <w:szCs w:val="36"/>
          <w:lang w:val="en-US" w:eastAsia="zh-CN" w:bidi="ar-SA"/>
        </w:rPr>
        <w:t>5.公布</w:t>
      </w:r>
      <w:r>
        <w:rPr>
          <w:rFonts w:hint="eastAsia" w:ascii="仿宋_GB2312" w:hAnsi="仿宋_GB2312" w:eastAsia="仿宋_GB2312" w:cs="仿宋_GB2312"/>
          <w:snapToGrid w:val="0"/>
          <w:color w:val="auto"/>
          <w:kern w:val="0"/>
          <w:sz w:val="32"/>
          <w:szCs w:val="36"/>
          <w:lang w:val="en-US" w:eastAsia="zh-CN" w:bidi="ar-SA"/>
        </w:rPr>
        <w:t>。认定名单经公示及征求有关单位意见后，以自治区发展改革委名义印发公布。</w:t>
      </w:r>
    </w:p>
    <w:p w14:paraId="1900A59B">
      <w:pPr>
        <w:pStyle w:val="13"/>
        <w:keepNext w:val="0"/>
        <w:keepLines w:val="0"/>
        <w:pageBreakBefore w:val="0"/>
        <w:widowControl w:val="0"/>
        <w:suppressLineNumbers w:val="0"/>
        <w:kinsoku/>
        <w:wordWrap/>
        <w:overflowPunct/>
        <w:topLinePunct w:val="0"/>
        <w:autoSpaceDE/>
        <w:autoSpaceDN/>
        <w:bidi w:val="0"/>
        <w:adjustRightInd/>
        <w:snapToGrid/>
        <w:ind w:left="0" w:firstLine="640"/>
        <w:jc w:val="both"/>
        <w:textAlignment w:val="auto"/>
        <w:rPr>
          <w:rFonts w:hint="eastAsia" w:ascii="仿宋_GB2312" w:hAnsi="仿宋_GB2312" w:eastAsia="仿宋_GB2312" w:cs="仿宋_GB2312"/>
          <w:snapToGrid w:val="0"/>
          <w:color w:val="auto"/>
          <w:kern w:val="0"/>
          <w:sz w:val="32"/>
          <w:szCs w:val="36"/>
          <w:lang w:val="en-US" w:eastAsia="zh-CN" w:bidi="ar-SA"/>
        </w:rPr>
      </w:pPr>
      <w:r>
        <w:rPr>
          <w:rFonts w:hint="eastAsia" w:ascii="黑体" w:hAnsi="黑体" w:eastAsia="黑体" w:cs="黑体"/>
          <w:b w:val="0"/>
          <w:bCs w:val="0"/>
          <w:snapToGrid w:val="0"/>
          <w:color w:val="auto"/>
          <w:kern w:val="0"/>
          <w:sz w:val="32"/>
          <w:szCs w:val="36"/>
          <w:lang w:val="en-US" w:eastAsia="zh-CN" w:bidi="ar-SA"/>
        </w:rPr>
        <w:t>二、关于2025年评价工作</w:t>
      </w:r>
    </w:p>
    <w:p w14:paraId="1D29F365">
      <w:pPr>
        <w:pStyle w:val="13"/>
        <w:keepNext w:val="0"/>
        <w:keepLines w:val="0"/>
        <w:pageBreakBefore w:val="0"/>
        <w:widowControl w:val="0"/>
        <w:suppressLineNumbers w:val="0"/>
        <w:kinsoku/>
        <w:wordWrap/>
        <w:overflowPunct/>
        <w:topLinePunct w:val="0"/>
        <w:autoSpaceDE/>
        <w:autoSpaceDN/>
        <w:bidi w:val="0"/>
        <w:adjustRightInd/>
        <w:snapToGrid/>
        <w:ind w:left="0" w:firstLine="640"/>
        <w:jc w:val="both"/>
        <w:textAlignment w:val="auto"/>
        <w:rPr>
          <w:rFonts w:hint="eastAsia" w:eastAsia="楷体_GB2312"/>
          <w:b/>
          <w:bCs/>
          <w:sz w:val="32"/>
          <w:szCs w:val="36"/>
          <w:lang w:eastAsia="zh-CN"/>
        </w:rPr>
      </w:pPr>
      <w:r>
        <w:rPr>
          <w:rFonts w:hint="eastAsia" w:ascii="楷体_GB2312" w:eastAsia="楷体_GB2312" w:cs="楷体_GB2312"/>
          <w:b/>
          <w:bCs/>
          <w:color w:val="000000"/>
          <w:sz w:val="32"/>
          <w:szCs w:val="36"/>
        </w:rPr>
        <w:t>（一）评价对象</w:t>
      </w:r>
      <w:r>
        <w:rPr>
          <w:rFonts w:hint="eastAsia" w:ascii="楷体_GB2312" w:eastAsia="楷体_GB2312" w:cs="楷体_GB2312"/>
          <w:b/>
          <w:bCs/>
          <w:color w:val="000000"/>
          <w:sz w:val="32"/>
          <w:szCs w:val="36"/>
          <w:lang w:eastAsia="zh-CN"/>
        </w:rPr>
        <w:t>。</w:t>
      </w:r>
    </w:p>
    <w:p w14:paraId="037EE196">
      <w:pPr>
        <w:pStyle w:val="13"/>
        <w:keepNext w:val="0"/>
        <w:keepLines w:val="0"/>
        <w:pageBreakBefore w:val="0"/>
        <w:widowControl w:val="0"/>
        <w:suppressLineNumbers w:val="0"/>
        <w:kinsoku/>
        <w:wordWrap/>
        <w:overflowPunct/>
        <w:topLinePunct w:val="0"/>
        <w:autoSpaceDE/>
        <w:autoSpaceDN/>
        <w:bidi w:val="0"/>
        <w:adjustRightInd/>
        <w:snapToGrid/>
        <w:ind w:left="0" w:firstLine="640"/>
        <w:jc w:val="both"/>
        <w:textAlignment w:val="auto"/>
        <w:rPr>
          <w:rFonts w:hint="eastAsia" w:ascii="仿宋_GB2312" w:hAnsi="宋体" w:eastAsia="仿宋_GB2312" w:cs="仿宋_GB2312"/>
          <w:color w:val="000000"/>
          <w:sz w:val="32"/>
          <w:szCs w:val="36"/>
        </w:rPr>
      </w:pPr>
      <w:r>
        <w:rPr>
          <w:rFonts w:hint="eastAsia" w:ascii="仿宋_GB2312" w:hAnsi="宋体" w:eastAsia="仿宋_GB2312" w:cs="仿宋_GB2312"/>
          <w:color w:val="000000"/>
          <w:sz w:val="32"/>
          <w:szCs w:val="36"/>
          <w:lang w:val="en-US" w:eastAsia="zh-CN"/>
        </w:rPr>
        <w:t>对认定已满3年（批复时间2021年（含）以前）的自治区</w:t>
      </w:r>
      <w:r>
        <w:rPr>
          <w:rFonts w:hint="eastAsia" w:ascii="仿宋_GB2312" w:hAnsi="宋体" w:eastAsia="仿宋_GB2312" w:cs="仿宋_GB2312"/>
          <w:color w:val="000000"/>
          <w:sz w:val="32"/>
          <w:szCs w:val="36"/>
        </w:rPr>
        <w:t>工程研究中心进行评价（见附件8）</w:t>
      </w:r>
      <w:r>
        <w:rPr>
          <w:rFonts w:hint="eastAsia" w:ascii="仿宋_GB2312" w:eastAsia="仿宋_GB2312" w:cs="仿宋_GB2312"/>
          <w:color w:val="000000"/>
          <w:sz w:val="32"/>
          <w:szCs w:val="36"/>
          <w:lang w:eastAsia="zh-CN"/>
        </w:rPr>
        <w:t>，</w:t>
      </w:r>
      <w:r>
        <w:rPr>
          <w:rFonts w:hint="eastAsia" w:ascii="仿宋_GB2312" w:hAnsi="宋体" w:eastAsia="仿宋_GB2312" w:cs="仿宋_GB2312"/>
          <w:color w:val="000000"/>
          <w:sz w:val="32"/>
          <w:szCs w:val="36"/>
        </w:rPr>
        <w:t>业绩成果统计期间为202</w:t>
      </w:r>
      <w:r>
        <w:rPr>
          <w:rFonts w:hint="eastAsia" w:ascii="仿宋_GB2312" w:hAnsi="宋体" w:eastAsia="仿宋_GB2312" w:cs="仿宋_GB2312"/>
          <w:color w:val="000000"/>
          <w:sz w:val="32"/>
          <w:szCs w:val="36"/>
          <w:lang w:val="en-US" w:eastAsia="zh-CN"/>
        </w:rPr>
        <w:t>2</w:t>
      </w:r>
      <w:r>
        <w:rPr>
          <w:rFonts w:hint="eastAsia" w:ascii="仿宋_GB2312" w:hAnsi="宋体" w:eastAsia="仿宋_GB2312" w:cs="仿宋_GB2312"/>
          <w:color w:val="000000"/>
          <w:sz w:val="32"/>
          <w:szCs w:val="36"/>
        </w:rPr>
        <w:t>至202</w:t>
      </w:r>
      <w:r>
        <w:rPr>
          <w:rFonts w:hint="eastAsia" w:ascii="仿宋_GB2312" w:hAnsi="宋体" w:eastAsia="仿宋_GB2312" w:cs="仿宋_GB2312"/>
          <w:color w:val="000000"/>
          <w:sz w:val="32"/>
          <w:szCs w:val="36"/>
          <w:lang w:val="en-US" w:eastAsia="zh-CN"/>
        </w:rPr>
        <w:t>4</w:t>
      </w:r>
      <w:r>
        <w:rPr>
          <w:rFonts w:hint="eastAsia" w:ascii="仿宋_GB2312" w:hAnsi="宋体" w:eastAsia="仿宋_GB2312" w:cs="仿宋_GB2312"/>
          <w:color w:val="000000"/>
          <w:sz w:val="32"/>
          <w:szCs w:val="36"/>
        </w:rPr>
        <w:t>年。</w:t>
      </w:r>
    </w:p>
    <w:p w14:paraId="6B66EC52">
      <w:pPr>
        <w:pStyle w:val="13"/>
        <w:keepNext w:val="0"/>
        <w:keepLines w:val="0"/>
        <w:pageBreakBefore w:val="0"/>
        <w:widowControl w:val="0"/>
        <w:suppressLineNumbers w:val="0"/>
        <w:kinsoku/>
        <w:wordWrap/>
        <w:overflowPunct/>
        <w:topLinePunct w:val="0"/>
        <w:autoSpaceDE/>
        <w:autoSpaceDN/>
        <w:bidi w:val="0"/>
        <w:adjustRightInd/>
        <w:snapToGrid/>
        <w:ind w:left="0" w:firstLine="640"/>
        <w:jc w:val="both"/>
        <w:textAlignment w:val="auto"/>
        <w:rPr>
          <w:rFonts w:hint="eastAsia" w:eastAsia="楷体_GB2312"/>
          <w:b/>
          <w:bCs/>
          <w:sz w:val="32"/>
          <w:szCs w:val="36"/>
          <w:lang w:eastAsia="zh-CN"/>
        </w:rPr>
      </w:pPr>
      <w:r>
        <w:rPr>
          <w:rFonts w:hint="eastAsia" w:ascii="楷体_GB2312" w:eastAsia="楷体_GB2312" w:cs="楷体_GB2312"/>
          <w:b/>
          <w:bCs/>
          <w:color w:val="000000"/>
          <w:sz w:val="32"/>
          <w:szCs w:val="36"/>
        </w:rPr>
        <w:t>（二）评价原则</w:t>
      </w:r>
      <w:r>
        <w:rPr>
          <w:rFonts w:hint="eastAsia" w:ascii="楷体_GB2312" w:eastAsia="楷体_GB2312" w:cs="楷体_GB2312"/>
          <w:b/>
          <w:bCs/>
          <w:color w:val="000000"/>
          <w:sz w:val="32"/>
          <w:szCs w:val="36"/>
          <w:lang w:eastAsia="zh-CN"/>
        </w:rPr>
        <w:t>。</w:t>
      </w:r>
    </w:p>
    <w:p w14:paraId="22CD461A">
      <w:pPr>
        <w:pStyle w:val="13"/>
        <w:keepNext w:val="0"/>
        <w:keepLines w:val="0"/>
        <w:pageBreakBefore w:val="0"/>
        <w:widowControl w:val="0"/>
        <w:suppressLineNumbers w:val="0"/>
        <w:kinsoku/>
        <w:wordWrap/>
        <w:overflowPunct/>
        <w:topLinePunct w:val="0"/>
        <w:autoSpaceDE/>
        <w:autoSpaceDN/>
        <w:bidi w:val="0"/>
        <w:adjustRightInd/>
        <w:snapToGrid/>
        <w:ind w:left="0" w:firstLine="640"/>
        <w:jc w:val="both"/>
        <w:textAlignment w:val="auto"/>
        <w:rPr>
          <w:sz w:val="32"/>
          <w:szCs w:val="36"/>
        </w:rPr>
      </w:pPr>
      <w:r>
        <w:rPr>
          <w:rFonts w:hint="eastAsia" w:ascii="仿宋_GB2312" w:hAnsi="仿宋_GB2312" w:eastAsia="仿宋_GB2312" w:cs="仿宋_GB2312"/>
          <w:b/>
          <w:bCs/>
          <w:color w:val="000000"/>
          <w:sz w:val="32"/>
          <w:szCs w:val="36"/>
        </w:rPr>
        <w:t>1.科学公正</w:t>
      </w:r>
      <w:r>
        <w:rPr>
          <w:rFonts w:hint="eastAsia" w:ascii="楷体_GB2312" w:eastAsia="楷体_GB2312" w:cs="楷体_GB2312"/>
          <w:color w:val="000000"/>
          <w:sz w:val="32"/>
          <w:szCs w:val="36"/>
        </w:rPr>
        <w:t>。</w:t>
      </w:r>
      <w:r>
        <w:rPr>
          <w:rFonts w:hint="eastAsia" w:ascii="仿宋_GB2312" w:eastAsia="仿宋_GB2312" w:cs="仿宋_GB2312"/>
          <w:color w:val="000000"/>
          <w:sz w:val="32"/>
          <w:szCs w:val="36"/>
        </w:rPr>
        <w:t>遵循客观、公正、科学的原则，依据评价指标体系，采用定量与定性相结合的方法，确保评价结果的准确性和可靠性。</w:t>
      </w:r>
    </w:p>
    <w:p w14:paraId="7D78A433">
      <w:pPr>
        <w:pStyle w:val="13"/>
        <w:keepNext w:val="0"/>
        <w:keepLines w:val="0"/>
        <w:pageBreakBefore w:val="0"/>
        <w:widowControl w:val="0"/>
        <w:suppressLineNumbers w:val="0"/>
        <w:kinsoku/>
        <w:wordWrap/>
        <w:overflowPunct/>
        <w:topLinePunct w:val="0"/>
        <w:autoSpaceDE/>
        <w:autoSpaceDN/>
        <w:bidi w:val="0"/>
        <w:adjustRightInd/>
        <w:snapToGrid/>
        <w:ind w:left="0" w:firstLine="640"/>
        <w:jc w:val="both"/>
        <w:textAlignment w:val="auto"/>
        <w:rPr>
          <w:sz w:val="32"/>
          <w:szCs w:val="36"/>
        </w:rPr>
      </w:pPr>
      <w:r>
        <w:rPr>
          <w:rFonts w:hint="eastAsia" w:ascii="仿宋_GB2312" w:hAnsi="仿宋_GB2312" w:eastAsia="仿宋_GB2312" w:cs="仿宋_GB2312"/>
          <w:b/>
          <w:bCs/>
          <w:color w:val="000000"/>
          <w:sz w:val="32"/>
          <w:szCs w:val="36"/>
        </w:rPr>
        <w:t>2.突出重点。</w:t>
      </w:r>
      <w:r>
        <w:rPr>
          <w:rFonts w:hint="eastAsia" w:ascii="仿宋_GB2312" w:eastAsia="仿宋_GB2312" w:cs="仿宋_GB2312"/>
          <w:color w:val="000000"/>
          <w:sz w:val="32"/>
          <w:szCs w:val="36"/>
        </w:rPr>
        <w:t>重点评价自治区工程研究中心的研发能力、创新成果、成果转化、人才队伍、运行管理等方面的情况。</w:t>
      </w:r>
    </w:p>
    <w:p w14:paraId="5B5B3671">
      <w:pPr>
        <w:pStyle w:val="13"/>
        <w:keepNext w:val="0"/>
        <w:keepLines w:val="0"/>
        <w:pageBreakBefore w:val="0"/>
        <w:widowControl w:val="0"/>
        <w:suppressLineNumbers w:val="0"/>
        <w:kinsoku/>
        <w:wordWrap/>
        <w:overflowPunct/>
        <w:topLinePunct w:val="0"/>
        <w:autoSpaceDE/>
        <w:autoSpaceDN/>
        <w:bidi w:val="0"/>
        <w:adjustRightInd/>
        <w:snapToGrid/>
        <w:ind w:left="0" w:firstLine="640"/>
        <w:jc w:val="both"/>
        <w:textAlignment w:val="auto"/>
        <w:rPr>
          <w:sz w:val="32"/>
          <w:szCs w:val="36"/>
        </w:rPr>
      </w:pPr>
      <w:r>
        <w:rPr>
          <w:rFonts w:hint="eastAsia" w:ascii="仿宋_GB2312" w:hAnsi="仿宋_GB2312" w:eastAsia="仿宋_GB2312" w:cs="仿宋_GB2312"/>
          <w:b/>
          <w:bCs/>
          <w:color w:val="000000"/>
          <w:sz w:val="32"/>
          <w:szCs w:val="36"/>
        </w:rPr>
        <w:t>3.动态调整。</w:t>
      </w:r>
      <w:r>
        <w:rPr>
          <w:rFonts w:hint="eastAsia" w:ascii="仿宋_GB2312" w:eastAsia="仿宋_GB2312" w:cs="仿宋_GB2312"/>
          <w:color w:val="000000"/>
          <w:sz w:val="32"/>
          <w:szCs w:val="36"/>
        </w:rPr>
        <w:t>根据自治区工程研究中心的发展变化和行业需求，适时调整评价指标和权重，确保评价工作的科学性和适应性。</w:t>
      </w:r>
    </w:p>
    <w:p w14:paraId="380B1287">
      <w:pPr>
        <w:pStyle w:val="13"/>
        <w:keepNext w:val="0"/>
        <w:keepLines w:val="0"/>
        <w:pageBreakBefore w:val="0"/>
        <w:widowControl w:val="0"/>
        <w:suppressLineNumbers w:val="0"/>
        <w:kinsoku/>
        <w:wordWrap/>
        <w:overflowPunct/>
        <w:topLinePunct w:val="0"/>
        <w:autoSpaceDE/>
        <w:autoSpaceDN/>
        <w:bidi w:val="0"/>
        <w:adjustRightInd/>
        <w:snapToGrid/>
        <w:ind w:left="0" w:firstLine="640"/>
        <w:jc w:val="both"/>
        <w:textAlignment w:val="auto"/>
        <w:rPr>
          <w:rFonts w:hint="eastAsia" w:ascii="楷体_GB2312" w:hAnsi="楷体_GB2312" w:eastAsia="楷体_GB2312" w:cs="楷体_GB2312"/>
          <w:b/>
          <w:bCs/>
          <w:sz w:val="32"/>
          <w:szCs w:val="36"/>
        </w:rPr>
      </w:pPr>
      <w:r>
        <w:rPr>
          <w:rFonts w:hint="eastAsia" w:ascii="楷体_GB2312" w:hAnsi="楷体_GB2312" w:eastAsia="楷体_GB2312" w:cs="楷体_GB2312"/>
          <w:b/>
          <w:bCs/>
          <w:color w:val="000000"/>
          <w:sz w:val="32"/>
          <w:szCs w:val="36"/>
        </w:rPr>
        <w:t>（三）评价结果及应用</w:t>
      </w:r>
    </w:p>
    <w:p w14:paraId="16D522EA">
      <w:pPr>
        <w:pStyle w:val="13"/>
        <w:keepNext w:val="0"/>
        <w:keepLines w:val="0"/>
        <w:pageBreakBefore w:val="0"/>
        <w:widowControl w:val="0"/>
        <w:suppressLineNumbers w:val="0"/>
        <w:kinsoku/>
        <w:wordWrap/>
        <w:overflowPunct/>
        <w:topLinePunct w:val="0"/>
        <w:autoSpaceDE/>
        <w:autoSpaceDN/>
        <w:bidi w:val="0"/>
        <w:adjustRightInd/>
        <w:snapToGrid/>
        <w:ind w:left="0" w:firstLine="640"/>
        <w:jc w:val="both"/>
        <w:textAlignment w:val="auto"/>
        <w:rPr>
          <w:sz w:val="32"/>
          <w:szCs w:val="36"/>
        </w:rPr>
      </w:pPr>
      <w:r>
        <w:rPr>
          <w:rFonts w:hint="eastAsia" w:ascii="仿宋_GB2312" w:eastAsia="仿宋_GB2312" w:cs="仿宋_GB2312"/>
          <w:color w:val="000000"/>
          <w:sz w:val="32"/>
          <w:szCs w:val="36"/>
        </w:rPr>
        <w:t>1.评价结果分为优秀、合格、不合格三个等级。</w:t>
      </w:r>
    </w:p>
    <w:p w14:paraId="77E46390">
      <w:pPr>
        <w:pStyle w:val="13"/>
        <w:keepNext w:val="0"/>
        <w:keepLines w:val="0"/>
        <w:pageBreakBefore w:val="0"/>
        <w:widowControl w:val="0"/>
        <w:suppressLineNumbers w:val="0"/>
        <w:kinsoku/>
        <w:wordWrap/>
        <w:overflowPunct/>
        <w:topLinePunct w:val="0"/>
        <w:autoSpaceDE/>
        <w:autoSpaceDN/>
        <w:bidi w:val="0"/>
        <w:adjustRightInd/>
        <w:snapToGrid/>
        <w:ind w:left="0" w:firstLine="640"/>
        <w:jc w:val="both"/>
        <w:textAlignment w:val="auto"/>
        <w:rPr>
          <w:rFonts w:hint="eastAsia" w:eastAsia="仿宋_GB2312"/>
          <w:sz w:val="32"/>
          <w:szCs w:val="36"/>
          <w:lang w:eastAsia="zh-CN"/>
        </w:rPr>
      </w:pPr>
      <w:r>
        <w:rPr>
          <w:rFonts w:ascii="仿宋_GB2312" w:eastAsia="仿宋_GB2312" w:cs="仿宋_GB2312"/>
          <w:color w:val="000000"/>
          <w:sz w:val="32"/>
          <w:szCs w:val="36"/>
        </w:rPr>
        <w:t>2.对评价优秀的自治区工程研究中心给予表扬</w:t>
      </w:r>
      <w:r>
        <w:rPr>
          <w:rFonts w:hint="eastAsia" w:ascii="仿宋_GB2312" w:eastAsia="仿宋_GB2312" w:cs="仿宋_GB2312"/>
          <w:color w:val="000000"/>
          <w:sz w:val="32"/>
          <w:szCs w:val="36"/>
          <w:lang w:eastAsia="zh-CN"/>
        </w:rPr>
        <w:t>，在当前或次年可优先安排中央预算内投资项目、优先推荐申报国家级创新平台。</w:t>
      </w:r>
    </w:p>
    <w:p w14:paraId="3B6AC6ED">
      <w:pPr>
        <w:pStyle w:val="13"/>
        <w:keepNext w:val="0"/>
        <w:keepLines w:val="0"/>
        <w:pageBreakBefore w:val="0"/>
        <w:widowControl w:val="0"/>
        <w:suppressLineNumbers w:val="0"/>
        <w:kinsoku/>
        <w:wordWrap/>
        <w:overflowPunct/>
        <w:topLinePunct w:val="0"/>
        <w:autoSpaceDE/>
        <w:autoSpaceDN/>
        <w:bidi w:val="0"/>
        <w:adjustRightInd/>
        <w:snapToGrid/>
        <w:ind w:left="0" w:firstLine="640"/>
        <w:jc w:val="both"/>
        <w:textAlignment w:val="auto"/>
        <w:rPr>
          <w:sz w:val="32"/>
          <w:szCs w:val="36"/>
        </w:rPr>
      </w:pPr>
      <w:r>
        <w:rPr>
          <w:rFonts w:hint="eastAsia" w:ascii="仿宋_GB2312" w:eastAsia="仿宋_GB2312" w:cs="仿宋_GB2312"/>
          <w:color w:val="000000"/>
          <w:sz w:val="32"/>
          <w:szCs w:val="36"/>
        </w:rPr>
        <w:t>3.对评价不合格的自治区工程研究中心，直接取消其资格。</w:t>
      </w:r>
    </w:p>
    <w:p w14:paraId="766E6C5D">
      <w:pPr>
        <w:pStyle w:val="13"/>
        <w:keepNext w:val="0"/>
        <w:keepLines w:val="0"/>
        <w:pageBreakBefore w:val="0"/>
        <w:widowControl w:val="0"/>
        <w:suppressLineNumbers w:val="0"/>
        <w:kinsoku/>
        <w:wordWrap/>
        <w:overflowPunct/>
        <w:topLinePunct w:val="0"/>
        <w:autoSpaceDE/>
        <w:autoSpaceDN/>
        <w:bidi w:val="0"/>
        <w:adjustRightInd/>
        <w:snapToGrid/>
        <w:ind w:left="0" w:firstLine="640"/>
        <w:jc w:val="both"/>
        <w:textAlignment w:val="auto"/>
        <w:rPr>
          <w:rFonts w:hint="eastAsia" w:ascii="楷体_GB2312" w:hAnsi="楷体_GB2312" w:eastAsia="楷体_GB2312" w:cs="楷体_GB2312"/>
          <w:b/>
          <w:bCs/>
          <w:color w:val="000000"/>
          <w:sz w:val="32"/>
          <w:szCs w:val="36"/>
        </w:rPr>
      </w:pPr>
      <w:r>
        <w:rPr>
          <w:rFonts w:hint="eastAsia" w:ascii="楷体_GB2312" w:hAnsi="楷体_GB2312" w:eastAsia="楷体_GB2312" w:cs="楷体_GB2312"/>
          <w:b/>
          <w:bCs/>
          <w:color w:val="000000"/>
          <w:sz w:val="32"/>
          <w:szCs w:val="36"/>
        </w:rPr>
        <w:t>（四）评价程序</w:t>
      </w:r>
    </w:p>
    <w:p w14:paraId="023FF06E">
      <w:pPr>
        <w:pStyle w:val="13"/>
        <w:keepNext w:val="0"/>
        <w:keepLines w:val="0"/>
        <w:pageBreakBefore w:val="0"/>
        <w:widowControl w:val="0"/>
        <w:suppressLineNumbers w:val="0"/>
        <w:kinsoku/>
        <w:wordWrap/>
        <w:overflowPunct/>
        <w:topLinePunct w:val="0"/>
        <w:autoSpaceDE/>
        <w:autoSpaceDN/>
        <w:bidi w:val="0"/>
        <w:adjustRightInd/>
        <w:snapToGrid/>
        <w:ind w:left="0" w:firstLine="640"/>
        <w:jc w:val="both"/>
        <w:textAlignment w:val="auto"/>
        <w:rPr>
          <w:sz w:val="32"/>
          <w:szCs w:val="36"/>
        </w:rPr>
      </w:pPr>
      <w:r>
        <w:rPr>
          <w:rFonts w:hint="eastAsia" w:ascii="仿宋_GB2312" w:hAnsi="仿宋_GB2312" w:eastAsia="仿宋_GB2312" w:cs="仿宋_GB2312"/>
          <w:b/>
          <w:bCs/>
          <w:color w:val="000000"/>
          <w:sz w:val="32"/>
          <w:szCs w:val="36"/>
        </w:rPr>
        <w:t>1.自评。</w:t>
      </w:r>
      <w:r>
        <w:rPr>
          <w:rFonts w:ascii="仿宋_GB2312" w:eastAsia="仿宋_GB2312" w:cs="仿宋_GB2312"/>
          <w:color w:val="000000"/>
          <w:sz w:val="32"/>
          <w:szCs w:val="36"/>
        </w:rPr>
        <w:t>需要评价的自治区工程研究中心按照评价指标体系</w:t>
      </w:r>
      <w:r>
        <w:rPr>
          <w:rFonts w:hint="eastAsia" w:ascii="仿宋_GB2312" w:eastAsia="仿宋_GB2312" w:cs="仿宋_GB2312"/>
          <w:color w:val="000000"/>
          <w:sz w:val="32"/>
          <w:szCs w:val="36"/>
        </w:rPr>
        <w:t>进行自我评价，在线撰写评价报告并提交相关证明材料。</w:t>
      </w:r>
    </w:p>
    <w:p w14:paraId="01C96A6A">
      <w:pPr>
        <w:pStyle w:val="13"/>
        <w:keepNext w:val="0"/>
        <w:keepLines w:val="0"/>
        <w:pageBreakBefore w:val="0"/>
        <w:widowControl w:val="0"/>
        <w:suppressLineNumbers w:val="0"/>
        <w:kinsoku/>
        <w:wordWrap/>
        <w:overflowPunct/>
        <w:topLinePunct w:val="0"/>
        <w:autoSpaceDE/>
        <w:autoSpaceDN/>
        <w:bidi w:val="0"/>
        <w:adjustRightInd/>
        <w:snapToGrid/>
        <w:ind w:left="0" w:firstLine="640"/>
        <w:jc w:val="both"/>
        <w:textAlignment w:val="auto"/>
        <w:rPr>
          <w:sz w:val="32"/>
          <w:szCs w:val="36"/>
        </w:rPr>
      </w:pPr>
      <w:r>
        <w:rPr>
          <w:rFonts w:hint="eastAsia" w:ascii="仿宋_GB2312" w:hAnsi="仿宋_GB2312" w:eastAsia="仿宋_GB2312" w:cs="仿宋_GB2312"/>
          <w:b/>
          <w:bCs/>
          <w:color w:val="000000"/>
          <w:sz w:val="32"/>
          <w:szCs w:val="36"/>
        </w:rPr>
        <w:t>2.评审。</w:t>
      </w:r>
      <w:r>
        <w:rPr>
          <w:rFonts w:hint="eastAsia" w:ascii="仿宋_GB2312" w:eastAsia="仿宋_GB2312" w:cs="仿宋_GB2312"/>
          <w:color w:val="000000"/>
          <w:sz w:val="32"/>
          <w:szCs w:val="36"/>
          <w:lang w:eastAsia="zh-CN"/>
        </w:rPr>
        <w:t>自治区发展改革委</w:t>
      </w:r>
      <w:r>
        <w:rPr>
          <w:rFonts w:hint="eastAsia" w:ascii="仿宋_GB2312" w:eastAsia="仿宋_GB2312" w:cs="仿宋_GB2312"/>
          <w:color w:val="000000"/>
          <w:sz w:val="32"/>
          <w:szCs w:val="36"/>
        </w:rPr>
        <w:t>邀请相关领域专家依据评价指标体系进行评审，形成初评意见。</w:t>
      </w:r>
    </w:p>
    <w:p w14:paraId="17DB3E64">
      <w:pPr>
        <w:pStyle w:val="13"/>
        <w:keepNext w:val="0"/>
        <w:keepLines w:val="0"/>
        <w:pageBreakBefore w:val="0"/>
        <w:widowControl w:val="0"/>
        <w:suppressLineNumbers w:val="0"/>
        <w:kinsoku/>
        <w:wordWrap/>
        <w:overflowPunct/>
        <w:topLinePunct w:val="0"/>
        <w:autoSpaceDE/>
        <w:autoSpaceDN/>
        <w:bidi w:val="0"/>
        <w:adjustRightInd/>
        <w:snapToGrid/>
        <w:ind w:left="0" w:firstLine="640"/>
        <w:jc w:val="both"/>
        <w:textAlignment w:val="auto"/>
        <w:rPr>
          <w:sz w:val="32"/>
          <w:szCs w:val="36"/>
        </w:rPr>
      </w:pPr>
      <w:r>
        <w:rPr>
          <w:rFonts w:hint="eastAsia" w:ascii="仿宋_GB2312" w:hAnsi="仿宋_GB2312" w:eastAsia="仿宋_GB2312" w:cs="仿宋_GB2312"/>
          <w:b/>
          <w:bCs/>
          <w:color w:val="000000"/>
          <w:sz w:val="32"/>
          <w:szCs w:val="36"/>
        </w:rPr>
        <w:t>3.考察</w:t>
      </w:r>
      <w:r>
        <w:rPr>
          <w:rFonts w:hint="eastAsia" w:ascii="楷体_GB2312" w:eastAsia="楷体_GB2312" w:cs="楷体_GB2312"/>
          <w:color w:val="000000"/>
          <w:sz w:val="32"/>
          <w:szCs w:val="36"/>
        </w:rPr>
        <w:t>。</w:t>
      </w:r>
      <w:r>
        <w:rPr>
          <w:rFonts w:hint="eastAsia" w:ascii="仿宋_GB2312" w:eastAsia="仿宋_GB2312" w:cs="仿宋_GB2312"/>
          <w:color w:val="000000"/>
          <w:sz w:val="32"/>
          <w:szCs w:val="36"/>
          <w:lang w:eastAsia="zh-CN"/>
        </w:rPr>
        <w:t>自治区发展改革委</w:t>
      </w:r>
      <w:r>
        <w:rPr>
          <w:rFonts w:hint="eastAsia" w:ascii="仿宋_GB2312" w:eastAsia="仿宋_GB2312" w:cs="仿宋_GB2312"/>
          <w:color w:val="000000"/>
          <w:sz w:val="32"/>
          <w:szCs w:val="36"/>
        </w:rPr>
        <w:t>邀请相关领域专家对部分工程研究中心的研发能力、人才队伍建设、经济社会效益</w:t>
      </w:r>
      <w:r>
        <w:rPr>
          <w:rFonts w:hint="eastAsia" w:ascii="仿宋_GB2312" w:eastAsia="仿宋_GB2312" w:cs="仿宋_GB2312"/>
          <w:color w:val="000000"/>
          <w:sz w:val="32"/>
          <w:szCs w:val="36"/>
          <w:lang w:eastAsia="zh-CN"/>
        </w:rPr>
        <w:t>、未来布局</w:t>
      </w:r>
      <w:r>
        <w:rPr>
          <w:rFonts w:hint="eastAsia" w:ascii="仿宋_GB2312" w:eastAsia="仿宋_GB2312" w:cs="仿宋_GB2312"/>
          <w:color w:val="000000"/>
          <w:sz w:val="32"/>
          <w:szCs w:val="36"/>
        </w:rPr>
        <w:t>等方面进行实地考察，形成意见。</w:t>
      </w:r>
    </w:p>
    <w:p w14:paraId="63592CBA">
      <w:pPr>
        <w:pStyle w:val="13"/>
        <w:keepNext w:val="0"/>
        <w:keepLines w:val="0"/>
        <w:pageBreakBefore w:val="0"/>
        <w:widowControl w:val="0"/>
        <w:suppressLineNumbers w:val="0"/>
        <w:kinsoku/>
        <w:wordWrap/>
        <w:overflowPunct/>
        <w:topLinePunct w:val="0"/>
        <w:autoSpaceDE/>
        <w:autoSpaceDN/>
        <w:bidi w:val="0"/>
        <w:adjustRightInd/>
        <w:snapToGrid/>
        <w:ind w:left="0" w:firstLine="640"/>
        <w:jc w:val="both"/>
        <w:textAlignment w:val="auto"/>
        <w:rPr>
          <w:sz w:val="32"/>
          <w:szCs w:val="36"/>
        </w:rPr>
      </w:pPr>
      <w:r>
        <w:rPr>
          <w:rFonts w:hint="eastAsia" w:ascii="仿宋_GB2312" w:hAnsi="仿宋_GB2312" w:eastAsia="仿宋_GB2312" w:cs="仿宋_GB2312"/>
          <w:b/>
          <w:bCs/>
          <w:color w:val="000000"/>
          <w:sz w:val="32"/>
          <w:szCs w:val="36"/>
        </w:rPr>
        <w:t>4.核定</w:t>
      </w:r>
      <w:r>
        <w:rPr>
          <w:rFonts w:hint="eastAsia" w:ascii="楷体_GB2312" w:eastAsia="楷体_GB2312" w:cs="楷体_GB2312"/>
          <w:color w:val="000000"/>
          <w:sz w:val="32"/>
          <w:szCs w:val="36"/>
        </w:rPr>
        <w:t>。</w:t>
      </w:r>
      <w:r>
        <w:rPr>
          <w:rFonts w:hint="eastAsia" w:ascii="仿宋_GB2312" w:eastAsia="仿宋_GB2312" w:cs="仿宋_GB2312"/>
          <w:color w:val="000000"/>
          <w:sz w:val="32"/>
          <w:szCs w:val="36"/>
          <w:lang w:eastAsia="zh-CN"/>
        </w:rPr>
        <w:t>自治区发展改革委</w:t>
      </w:r>
      <w:r>
        <w:rPr>
          <w:rFonts w:hint="eastAsia" w:ascii="仿宋_GB2312" w:eastAsia="仿宋_GB2312" w:cs="仿宋_GB2312"/>
          <w:color w:val="000000"/>
          <w:sz w:val="32"/>
          <w:szCs w:val="36"/>
        </w:rPr>
        <w:t>邀请相关领域专家在评分结果的基础上，结合市场环境等因素，讨论形成综合评议意见，给出优秀、合格和不合格三个等级的评价结果。</w:t>
      </w:r>
    </w:p>
    <w:p w14:paraId="67EE660A">
      <w:pPr>
        <w:pStyle w:val="13"/>
        <w:keepNext w:val="0"/>
        <w:keepLines w:val="0"/>
        <w:pageBreakBefore w:val="0"/>
        <w:widowControl w:val="0"/>
        <w:suppressLineNumbers w:val="0"/>
        <w:kinsoku/>
        <w:wordWrap/>
        <w:overflowPunct/>
        <w:topLinePunct w:val="0"/>
        <w:autoSpaceDE/>
        <w:autoSpaceDN/>
        <w:bidi w:val="0"/>
        <w:adjustRightInd/>
        <w:snapToGrid/>
        <w:ind w:left="0" w:firstLine="640"/>
        <w:jc w:val="both"/>
        <w:textAlignment w:val="auto"/>
        <w:rPr>
          <w:sz w:val="32"/>
          <w:szCs w:val="36"/>
        </w:rPr>
      </w:pPr>
      <w:r>
        <w:rPr>
          <w:rFonts w:hint="eastAsia" w:ascii="仿宋_GB2312" w:hAnsi="仿宋_GB2312" w:eastAsia="仿宋_GB2312" w:cs="仿宋_GB2312"/>
          <w:b/>
          <w:bCs/>
          <w:color w:val="000000"/>
          <w:sz w:val="32"/>
          <w:szCs w:val="36"/>
        </w:rPr>
        <w:t>5.公布。</w:t>
      </w:r>
      <w:r>
        <w:rPr>
          <w:rFonts w:hint="eastAsia" w:ascii="仿宋_GB2312" w:eastAsia="仿宋_GB2312" w:cs="仿宋_GB2312"/>
          <w:color w:val="000000"/>
          <w:sz w:val="32"/>
          <w:szCs w:val="36"/>
        </w:rPr>
        <w:t>评价结果经公示及征求有关单位意见后，以自治区发展改革委名义印发公布。</w:t>
      </w:r>
    </w:p>
    <w:p w14:paraId="10ED318A">
      <w:pPr>
        <w:pStyle w:val="13"/>
        <w:keepNext w:val="0"/>
        <w:keepLines w:val="0"/>
        <w:pageBreakBefore w:val="0"/>
        <w:widowControl w:val="0"/>
        <w:suppressLineNumbers w:val="0"/>
        <w:kinsoku/>
        <w:wordWrap/>
        <w:overflowPunct/>
        <w:topLinePunct w:val="0"/>
        <w:autoSpaceDE/>
        <w:autoSpaceDN/>
        <w:bidi w:val="0"/>
        <w:adjustRightInd/>
        <w:snapToGrid/>
        <w:spacing w:line="540" w:lineRule="exact"/>
        <w:ind w:left="0" w:firstLine="640"/>
        <w:jc w:val="both"/>
        <w:textAlignment w:val="auto"/>
        <w:outlineLvl w:val="9"/>
        <w:rPr>
          <w:sz w:val="32"/>
          <w:szCs w:val="36"/>
        </w:rPr>
      </w:pPr>
      <w:r>
        <w:rPr>
          <w:rFonts w:ascii="黑体" w:hAnsi="宋体" w:eastAsia="黑体" w:cs="黑体"/>
          <w:color w:val="000000"/>
          <w:sz w:val="32"/>
          <w:szCs w:val="36"/>
        </w:rPr>
        <w:t>三、其他事项</w:t>
      </w:r>
    </w:p>
    <w:p w14:paraId="04D56095">
      <w:pPr>
        <w:pStyle w:val="13"/>
        <w:keepNext w:val="0"/>
        <w:keepLines w:val="0"/>
        <w:pageBreakBefore w:val="0"/>
        <w:widowControl w:val="0"/>
        <w:suppressLineNumbers w:val="0"/>
        <w:kinsoku/>
        <w:wordWrap/>
        <w:overflowPunct/>
        <w:topLinePunct w:val="0"/>
        <w:autoSpaceDE/>
        <w:autoSpaceDN/>
        <w:bidi w:val="0"/>
        <w:adjustRightInd/>
        <w:snapToGrid/>
        <w:spacing w:line="540" w:lineRule="exact"/>
        <w:ind w:firstLine="616" w:firstLineChars="200"/>
        <w:jc w:val="both"/>
        <w:textAlignment w:val="auto"/>
        <w:outlineLvl w:val="9"/>
        <w:rPr>
          <w:rFonts w:hint="eastAsia" w:ascii="仿宋_GB2312" w:hAnsi="宋体" w:eastAsia="仿宋_GB2312" w:cs="仿宋_GB2312"/>
          <w:color w:val="000000"/>
          <w:sz w:val="32"/>
          <w:szCs w:val="36"/>
        </w:rPr>
      </w:pPr>
      <w:r>
        <w:rPr>
          <w:rFonts w:hint="eastAsia" w:ascii="仿宋_GB2312" w:hAnsi="宋体" w:eastAsia="仿宋_GB2312" w:cs="仿宋_GB2312"/>
          <w:color w:val="000000"/>
          <w:sz w:val="32"/>
          <w:szCs w:val="36"/>
          <w:lang w:val="en-US" w:eastAsia="zh-CN"/>
        </w:rPr>
        <w:t>（一）请</w:t>
      </w:r>
      <w:r>
        <w:rPr>
          <w:rFonts w:hint="eastAsia" w:ascii="仿宋_GB2312" w:eastAsia="仿宋_GB2312" w:cs="仿宋_GB2312"/>
          <w:color w:val="000000"/>
          <w:sz w:val="32"/>
          <w:szCs w:val="36"/>
          <w:lang w:val="en-US" w:eastAsia="zh-CN"/>
        </w:rPr>
        <w:t>自治区</w:t>
      </w:r>
      <w:r>
        <w:rPr>
          <w:rFonts w:hint="eastAsia" w:ascii="仿宋_GB2312" w:hAnsi="宋体" w:eastAsia="仿宋_GB2312" w:cs="仿宋_GB2312"/>
          <w:color w:val="000000"/>
          <w:sz w:val="32"/>
          <w:szCs w:val="36"/>
          <w:lang w:val="en-US" w:eastAsia="zh-CN"/>
        </w:rPr>
        <w:t>各有关单位</w:t>
      </w:r>
      <w:r>
        <w:rPr>
          <w:rFonts w:hint="eastAsia" w:ascii="仿宋_GB2312" w:eastAsia="仿宋_GB2312" w:cs="仿宋_GB2312"/>
          <w:color w:val="000000"/>
          <w:sz w:val="32"/>
          <w:szCs w:val="36"/>
          <w:lang w:val="en-US" w:eastAsia="zh-CN"/>
        </w:rPr>
        <w:t>按照</w:t>
      </w:r>
      <w:r>
        <w:rPr>
          <w:rFonts w:hint="eastAsia" w:ascii="仿宋_GB2312" w:hAnsi="仿宋_GB2312" w:eastAsia="仿宋_GB2312" w:cs="仿宋_GB2312"/>
          <w:snapToGrid w:val="0"/>
          <w:color w:val="auto"/>
          <w:kern w:val="0"/>
          <w:sz w:val="32"/>
          <w:szCs w:val="36"/>
          <w:lang w:val="en-US" w:eastAsia="zh-CN" w:bidi="ar-SA"/>
        </w:rPr>
        <w:t>《管理办法》和通知要求，</w:t>
      </w:r>
      <w:r>
        <w:rPr>
          <w:rFonts w:hint="eastAsia" w:ascii="仿宋_GB2312" w:hAnsi="宋体" w:eastAsia="仿宋_GB2312" w:cs="仿宋_GB2312"/>
          <w:color w:val="000000"/>
          <w:sz w:val="32"/>
          <w:szCs w:val="36"/>
          <w:lang w:val="en-US" w:eastAsia="zh-CN"/>
        </w:rPr>
        <w:t>组织所主管企业、高校、科研院所的申</w:t>
      </w:r>
      <w:r>
        <w:rPr>
          <w:rFonts w:hint="eastAsia" w:ascii="仿宋_GB2312" w:hAnsi="宋体" w:eastAsia="仿宋_GB2312" w:cs="仿宋_GB2312"/>
          <w:color w:val="000000"/>
          <w:sz w:val="32"/>
          <w:szCs w:val="36"/>
        </w:rPr>
        <w:t>报</w:t>
      </w:r>
      <w:r>
        <w:rPr>
          <w:rFonts w:hint="eastAsia" w:ascii="仿宋_GB2312" w:eastAsia="仿宋_GB2312" w:cs="仿宋_GB2312"/>
          <w:color w:val="000000"/>
          <w:sz w:val="32"/>
          <w:szCs w:val="36"/>
          <w:lang w:eastAsia="zh-CN"/>
        </w:rPr>
        <w:t>；</w:t>
      </w:r>
      <w:r>
        <w:rPr>
          <w:rFonts w:hint="eastAsia" w:ascii="仿宋_GB2312" w:hAnsi="宋体" w:eastAsia="仿宋_GB2312" w:cs="仿宋_GB2312"/>
          <w:color w:val="000000"/>
          <w:sz w:val="32"/>
          <w:szCs w:val="36"/>
        </w:rPr>
        <w:t>各设区市发展改革委组织属地企业、机构的申报</w:t>
      </w:r>
      <w:r>
        <w:rPr>
          <w:rFonts w:hint="eastAsia" w:ascii="仿宋_GB2312" w:eastAsia="仿宋_GB2312" w:cs="仿宋_GB2312"/>
          <w:color w:val="000000"/>
          <w:sz w:val="32"/>
          <w:szCs w:val="36"/>
          <w:lang w:eastAsia="zh-CN"/>
        </w:rPr>
        <w:t>。涉及评价的自治区工程研究中心由所属</w:t>
      </w:r>
      <w:r>
        <w:rPr>
          <w:rFonts w:hint="eastAsia" w:ascii="仿宋_GB2312" w:hAnsi="宋体" w:eastAsia="仿宋_GB2312" w:cs="仿宋_GB2312"/>
          <w:color w:val="000000"/>
          <w:sz w:val="32"/>
          <w:szCs w:val="36"/>
        </w:rPr>
        <w:t>设区市发展改革委组织评价</w:t>
      </w:r>
      <w:r>
        <w:rPr>
          <w:rFonts w:hint="eastAsia" w:ascii="仿宋_GB2312" w:eastAsia="仿宋_GB2312" w:cs="仿宋_GB2312"/>
          <w:color w:val="000000"/>
          <w:sz w:val="32"/>
          <w:szCs w:val="36"/>
          <w:lang w:eastAsia="zh-CN"/>
        </w:rPr>
        <w:t>。</w:t>
      </w:r>
      <w:bookmarkStart w:id="0" w:name="_GoBack"/>
      <w:r>
        <w:rPr>
          <w:rFonts w:hint="eastAsia" w:ascii="仿宋_GB2312" w:eastAsia="仿宋_GB2312" w:cs="仿宋_GB2312"/>
          <w:color w:val="000000"/>
          <w:sz w:val="32"/>
          <w:szCs w:val="36"/>
          <w:lang w:eastAsia="zh-CN"/>
        </w:rPr>
        <w:t>并</w:t>
      </w:r>
      <w:r>
        <w:rPr>
          <w:rFonts w:hint="eastAsia" w:ascii="仿宋_GB2312" w:hAnsi="宋体" w:eastAsia="仿宋_GB2312" w:cs="仿宋_GB2312"/>
          <w:color w:val="000000"/>
          <w:sz w:val="32"/>
          <w:szCs w:val="36"/>
        </w:rPr>
        <w:t>于202</w:t>
      </w:r>
      <w:r>
        <w:rPr>
          <w:rFonts w:hint="eastAsia" w:ascii="仿宋_GB2312" w:hAnsi="宋体" w:eastAsia="仿宋_GB2312" w:cs="仿宋_GB2312"/>
          <w:color w:val="000000"/>
          <w:sz w:val="32"/>
          <w:szCs w:val="36"/>
          <w:lang w:val="en-US" w:eastAsia="zh-CN"/>
        </w:rPr>
        <w:t>5</w:t>
      </w:r>
      <w:r>
        <w:rPr>
          <w:rFonts w:hint="eastAsia" w:ascii="仿宋_GB2312" w:hAnsi="宋体" w:eastAsia="仿宋_GB2312" w:cs="仿宋_GB2312"/>
          <w:color w:val="000000"/>
          <w:sz w:val="32"/>
          <w:szCs w:val="36"/>
        </w:rPr>
        <w:t>年</w:t>
      </w:r>
      <w:r>
        <w:rPr>
          <w:rFonts w:hint="eastAsia" w:ascii="仿宋_GB2312" w:eastAsia="仿宋_GB2312" w:cs="仿宋_GB2312"/>
          <w:color w:val="000000"/>
          <w:sz w:val="32"/>
          <w:szCs w:val="36"/>
          <w:lang w:val="en-US" w:eastAsia="zh-CN"/>
        </w:rPr>
        <w:t>8</w:t>
      </w:r>
      <w:r>
        <w:rPr>
          <w:rFonts w:hint="eastAsia" w:ascii="仿宋_GB2312" w:hAnsi="宋体" w:eastAsia="仿宋_GB2312" w:cs="仿宋_GB2312"/>
          <w:color w:val="000000"/>
          <w:sz w:val="32"/>
          <w:szCs w:val="36"/>
        </w:rPr>
        <w:t>月</w:t>
      </w:r>
      <w:r>
        <w:rPr>
          <w:rFonts w:hint="eastAsia" w:ascii="仿宋_GB2312" w:eastAsia="仿宋_GB2312" w:cs="仿宋_GB2312"/>
          <w:color w:val="000000"/>
          <w:sz w:val="32"/>
          <w:szCs w:val="36"/>
          <w:lang w:val="en-US" w:eastAsia="zh-CN"/>
        </w:rPr>
        <w:t>1</w:t>
      </w:r>
      <w:r>
        <w:rPr>
          <w:rFonts w:hint="default" w:ascii="仿宋_GB2312" w:eastAsia="仿宋_GB2312" w:cs="仿宋_GB2312"/>
          <w:color w:val="000000"/>
          <w:sz w:val="32"/>
          <w:szCs w:val="36"/>
          <w:lang w:val="en-US" w:eastAsia="zh-CN"/>
        </w:rPr>
        <w:t>0</w:t>
      </w:r>
      <w:r>
        <w:rPr>
          <w:rFonts w:hint="eastAsia" w:ascii="仿宋_GB2312" w:hAnsi="宋体" w:eastAsia="仿宋_GB2312" w:cs="仿宋_GB2312"/>
          <w:color w:val="000000"/>
          <w:sz w:val="32"/>
          <w:szCs w:val="36"/>
        </w:rPr>
        <w:t>日24:00</w:t>
      </w:r>
      <w:r>
        <w:rPr>
          <w:rFonts w:hint="eastAsia" w:ascii="仿宋_GB2312" w:hAnsi="宋体" w:eastAsia="仿宋_GB2312" w:cs="仿宋_GB2312"/>
          <w:color w:val="000000"/>
          <w:spacing w:val="-6"/>
          <w:sz w:val="32"/>
          <w:szCs w:val="36"/>
        </w:rPr>
        <w:t>前通过广西投资项目在线审批监管平</w:t>
      </w:r>
      <w:r>
        <w:rPr>
          <w:rFonts w:hint="eastAsia" w:ascii="仿宋_GB2312" w:eastAsia="仿宋_GB2312" w:cs="仿宋_GB2312"/>
          <w:color w:val="000000"/>
          <w:spacing w:val="-6"/>
          <w:sz w:val="32"/>
          <w:szCs w:val="36"/>
          <w:lang w:eastAsia="zh-CN"/>
        </w:rPr>
        <w:t>台</w:t>
      </w:r>
      <w:r>
        <w:rPr>
          <w:rFonts w:hint="eastAsia" w:ascii="仿宋_GB2312" w:hAnsi="宋体" w:eastAsia="仿宋_GB2312" w:cs="仿宋_GB2312"/>
          <w:color w:val="000000"/>
          <w:spacing w:val="-6"/>
          <w:sz w:val="32"/>
          <w:szCs w:val="36"/>
        </w:rPr>
        <w:t>（https://zxsp.fgw.gxzf.gov.cn/）进行线上填报，逾期不再受理。</w:t>
      </w:r>
    </w:p>
    <w:bookmarkEnd w:id="0"/>
    <w:p w14:paraId="37DF8627">
      <w:pPr>
        <w:pStyle w:val="13"/>
        <w:keepNext w:val="0"/>
        <w:keepLines w:val="0"/>
        <w:pageBreakBefore w:val="0"/>
        <w:widowControl w:val="0"/>
        <w:suppressLineNumbers w:val="0"/>
        <w:kinsoku/>
        <w:wordWrap/>
        <w:overflowPunct/>
        <w:topLinePunct w:val="0"/>
        <w:autoSpaceDE/>
        <w:autoSpaceDN/>
        <w:bidi w:val="0"/>
        <w:adjustRightInd/>
        <w:snapToGrid/>
        <w:spacing w:line="540" w:lineRule="exact"/>
        <w:ind w:left="0" w:firstLine="640"/>
        <w:jc w:val="both"/>
        <w:textAlignment w:val="auto"/>
        <w:outlineLvl w:val="9"/>
        <w:rPr>
          <w:rFonts w:hint="eastAsia" w:ascii="仿宋_GB2312" w:hAnsi="宋体" w:eastAsia="仿宋_GB2312" w:cs="仿宋_GB2312"/>
          <w:color w:val="000000"/>
          <w:sz w:val="32"/>
          <w:szCs w:val="36"/>
          <w:lang w:val="en-US" w:eastAsia="zh-CN"/>
        </w:rPr>
      </w:pPr>
      <w:r>
        <w:rPr>
          <w:rFonts w:hint="eastAsia" w:ascii="仿宋_GB2312" w:hAnsi="宋体" w:eastAsia="仿宋_GB2312" w:cs="仿宋_GB2312"/>
          <w:color w:val="000000"/>
          <w:sz w:val="32"/>
          <w:szCs w:val="36"/>
          <w:lang w:val="en-US" w:eastAsia="zh-CN"/>
        </w:rPr>
        <w:t>（二）</w:t>
      </w:r>
      <w:r>
        <w:rPr>
          <w:rFonts w:hint="eastAsia" w:ascii="仿宋_GB2312" w:eastAsia="仿宋_GB2312" w:cs="仿宋_GB2312"/>
          <w:color w:val="000000"/>
          <w:sz w:val="32"/>
          <w:szCs w:val="36"/>
          <w:lang w:val="en-US" w:eastAsia="zh-CN"/>
        </w:rPr>
        <w:t>各申报及评价</w:t>
      </w:r>
      <w:r>
        <w:rPr>
          <w:rFonts w:hint="eastAsia" w:ascii="仿宋_GB2312" w:hAnsi="宋体" w:eastAsia="仿宋_GB2312" w:cs="仿宋_GB2312"/>
          <w:color w:val="000000"/>
          <w:sz w:val="32"/>
          <w:szCs w:val="36"/>
          <w:lang w:val="en-US" w:eastAsia="zh-CN"/>
        </w:rPr>
        <w:t>全部电子版材料</w:t>
      </w:r>
      <w:r>
        <w:rPr>
          <w:rFonts w:hint="eastAsia" w:ascii="仿宋_GB2312" w:eastAsia="仿宋_GB2312" w:cs="仿宋_GB2312"/>
          <w:color w:val="000000"/>
          <w:sz w:val="32"/>
          <w:szCs w:val="36"/>
          <w:lang w:val="en-US" w:eastAsia="zh-CN"/>
        </w:rPr>
        <w:t>先</w:t>
      </w:r>
      <w:r>
        <w:rPr>
          <w:rFonts w:hint="eastAsia" w:ascii="仿宋_GB2312" w:hAnsi="宋体" w:eastAsia="仿宋_GB2312" w:cs="仿宋_GB2312"/>
          <w:color w:val="000000"/>
          <w:sz w:val="32"/>
          <w:szCs w:val="36"/>
          <w:lang w:val="en-US" w:eastAsia="zh-CN"/>
        </w:rPr>
        <w:t>以压缩包</w:t>
      </w:r>
      <w:r>
        <w:rPr>
          <w:rFonts w:hint="eastAsia" w:ascii="仿宋_GB2312" w:eastAsia="仿宋_GB2312" w:cs="仿宋_GB2312"/>
          <w:color w:val="000000"/>
          <w:sz w:val="32"/>
          <w:szCs w:val="36"/>
          <w:lang w:val="en-US" w:eastAsia="zh-CN"/>
        </w:rPr>
        <w:t>（</w:t>
      </w:r>
      <w:r>
        <w:rPr>
          <w:rFonts w:hint="eastAsia" w:ascii="仿宋_GB2312" w:hAnsi="宋体" w:eastAsia="仿宋_GB2312" w:cs="仿宋_GB2312"/>
          <w:color w:val="000000"/>
          <w:sz w:val="32"/>
          <w:szCs w:val="36"/>
          <w:lang w:val="en-US" w:eastAsia="zh-CN"/>
        </w:rPr>
        <w:t>统一命名为：2025年XX自治区工程研究中心申报（评价）材料</w:t>
      </w:r>
      <w:r>
        <w:rPr>
          <w:rFonts w:hint="eastAsia" w:ascii="仿宋_GB2312" w:eastAsia="仿宋_GB2312" w:cs="仿宋_GB2312"/>
          <w:color w:val="000000"/>
          <w:sz w:val="32"/>
          <w:szCs w:val="36"/>
          <w:lang w:val="en-US" w:eastAsia="zh-CN"/>
        </w:rPr>
        <w:t>）</w:t>
      </w:r>
      <w:r>
        <w:rPr>
          <w:rFonts w:hint="eastAsia" w:ascii="仿宋_GB2312" w:hAnsi="宋体" w:eastAsia="仿宋_GB2312" w:cs="仿宋_GB2312"/>
          <w:color w:val="000000"/>
          <w:sz w:val="32"/>
          <w:szCs w:val="36"/>
          <w:lang w:val="en-US" w:eastAsia="zh-CN"/>
        </w:rPr>
        <w:t>形式报送至各推荐单位、各设区市发展改革委。为发挥行业主管部门的指导作用和地市的属地管理责任，请</w:t>
      </w:r>
      <w:r>
        <w:rPr>
          <w:rFonts w:hint="eastAsia" w:ascii="仿宋_GB2312" w:eastAsia="仿宋_GB2312" w:cs="仿宋_GB2312"/>
          <w:color w:val="000000"/>
          <w:sz w:val="32"/>
          <w:szCs w:val="36"/>
          <w:lang w:val="en-US" w:eastAsia="zh-CN"/>
        </w:rPr>
        <w:t>自治区</w:t>
      </w:r>
      <w:r>
        <w:rPr>
          <w:rFonts w:hint="eastAsia" w:ascii="仿宋_GB2312" w:hAnsi="宋体" w:eastAsia="仿宋_GB2312" w:cs="仿宋_GB2312"/>
          <w:color w:val="000000"/>
          <w:sz w:val="32"/>
          <w:szCs w:val="36"/>
          <w:lang w:val="en-US" w:eastAsia="zh-CN"/>
        </w:rPr>
        <w:t>各有关单位和各设区市发展改革委切实强化审核和管理责任，对拟推荐的自治区工程研究中心</w:t>
      </w:r>
      <w:r>
        <w:rPr>
          <w:rFonts w:hint="eastAsia" w:ascii="仿宋_GB2312" w:eastAsia="仿宋_GB2312" w:cs="仿宋_GB2312"/>
          <w:color w:val="000000"/>
          <w:sz w:val="32"/>
          <w:szCs w:val="36"/>
          <w:lang w:val="en-US" w:eastAsia="zh-CN"/>
        </w:rPr>
        <w:t>和</w:t>
      </w:r>
      <w:r>
        <w:rPr>
          <w:rFonts w:hint="eastAsia" w:ascii="仿宋_GB2312" w:hAnsi="仿宋_GB2312" w:eastAsia="仿宋_GB2312" w:cs="仿宋_GB2312"/>
          <w:snapToGrid w:val="0"/>
          <w:color w:val="auto"/>
          <w:kern w:val="0"/>
          <w:sz w:val="32"/>
          <w:szCs w:val="36"/>
          <w:lang w:val="en-US" w:eastAsia="zh-CN" w:bidi="ar-SA"/>
        </w:rPr>
        <w:t>自治区人工智能场景工程研究中心</w:t>
      </w:r>
      <w:r>
        <w:rPr>
          <w:rFonts w:hint="eastAsia" w:ascii="仿宋_GB2312" w:hAnsi="宋体" w:eastAsia="仿宋_GB2312" w:cs="仿宋_GB2312"/>
          <w:color w:val="000000"/>
          <w:sz w:val="32"/>
          <w:szCs w:val="36"/>
          <w:lang w:val="en-US" w:eastAsia="zh-CN"/>
        </w:rPr>
        <w:t>材料</w:t>
      </w:r>
      <w:r>
        <w:rPr>
          <w:rFonts w:hint="eastAsia" w:ascii="仿宋_GB2312" w:eastAsia="仿宋_GB2312" w:cs="仿宋_GB2312"/>
          <w:color w:val="000000"/>
          <w:sz w:val="32"/>
          <w:szCs w:val="36"/>
          <w:lang w:val="en-US" w:eastAsia="zh-CN"/>
        </w:rPr>
        <w:t>进行严格审核，出具审核意见后，并</w:t>
      </w:r>
      <w:r>
        <w:rPr>
          <w:rFonts w:hint="eastAsia" w:ascii="仿宋_GB2312" w:hAnsi="仿宋_GB2312" w:eastAsia="仿宋_GB2312" w:cs="仿宋_GB2312"/>
          <w:snapToGrid w:val="0"/>
          <w:color w:val="auto"/>
          <w:kern w:val="0"/>
          <w:sz w:val="32"/>
          <w:szCs w:val="36"/>
          <w:lang w:val="en-US" w:eastAsia="zh-CN" w:bidi="ar-SA"/>
        </w:rPr>
        <w:t>将推荐文件、审核报送数据表</w:t>
      </w:r>
      <w:r>
        <w:rPr>
          <w:rFonts w:hint="eastAsia" w:ascii="仿宋_GB2312" w:hAnsi="仿宋_GB2312" w:eastAsia="仿宋_GB2312" w:cs="仿宋_GB2312"/>
          <w:snapToGrid w:val="0"/>
          <w:color w:val="auto"/>
          <w:kern w:val="0"/>
          <w:sz w:val="32"/>
          <w:szCs w:val="36"/>
          <w:u w:val="none"/>
          <w:lang w:val="en-US" w:eastAsia="zh-CN" w:bidi="ar-SA"/>
        </w:rPr>
        <w:t>（见附件5）</w:t>
      </w:r>
      <w:r>
        <w:rPr>
          <w:rFonts w:hint="eastAsia" w:ascii="仿宋_GB2312" w:hAnsi="仿宋_GB2312" w:eastAsia="仿宋_GB2312" w:cs="仿宋_GB2312"/>
          <w:snapToGrid w:val="0"/>
          <w:color w:val="auto"/>
          <w:kern w:val="0"/>
          <w:sz w:val="32"/>
          <w:szCs w:val="36"/>
          <w:lang w:val="en-US" w:eastAsia="zh-CN" w:bidi="ar-SA"/>
        </w:rPr>
        <w:t>于</w:t>
      </w:r>
      <w:r>
        <w:rPr>
          <w:rFonts w:hint="eastAsia" w:ascii="仿宋_GB2312" w:hAnsi="宋体" w:eastAsia="仿宋_GB2312" w:cs="仿宋_GB2312"/>
          <w:color w:val="000000"/>
          <w:sz w:val="32"/>
          <w:szCs w:val="36"/>
          <w:lang w:val="en-US" w:eastAsia="zh-CN"/>
        </w:rPr>
        <w:t>2025年</w:t>
      </w:r>
      <w:r>
        <w:rPr>
          <w:rFonts w:hint="eastAsia" w:ascii="仿宋_GB2312" w:eastAsia="仿宋_GB2312" w:cs="仿宋_GB2312"/>
          <w:color w:val="000000"/>
          <w:sz w:val="32"/>
          <w:szCs w:val="36"/>
          <w:lang w:val="en-US" w:eastAsia="zh-CN"/>
        </w:rPr>
        <w:t>8</w:t>
      </w:r>
      <w:r>
        <w:rPr>
          <w:rFonts w:hint="eastAsia" w:ascii="仿宋_GB2312" w:hAnsi="宋体" w:eastAsia="仿宋_GB2312" w:cs="仿宋_GB2312"/>
          <w:color w:val="000000"/>
          <w:sz w:val="32"/>
          <w:szCs w:val="36"/>
          <w:lang w:val="en-US" w:eastAsia="zh-CN"/>
        </w:rPr>
        <w:t>月</w:t>
      </w:r>
      <w:r>
        <w:rPr>
          <w:rFonts w:hint="eastAsia" w:ascii="仿宋_GB2312" w:eastAsia="仿宋_GB2312" w:cs="仿宋_GB2312"/>
          <w:color w:val="000000"/>
          <w:sz w:val="32"/>
          <w:szCs w:val="36"/>
          <w:lang w:val="en-US" w:eastAsia="zh-CN"/>
        </w:rPr>
        <w:t>1</w:t>
      </w:r>
      <w:r>
        <w:rPr>
          <w:rFonts w:hint="default" w:ascii="仿宋_GB2312" w:eastAsia="仿宋_GB2312" w:cs="仿宋_GB2312"/>
          <w:color w:val="000000"/>
          <w:sz w:val="32"/>
          <w:szCs w:val="36"/>
          <w:lang w:val="en-US" w:eastAsia="zh-CN"/>
        </w:rPr>
        <w:t>5</w:t>
      </w:r>
      <w:r>
        <w:rPr>
          <w:rFonts w:hint="eastAsia" w:ascii="仿宋_GB2312" w:hAnsi="宋体" w:eastAsia="仿宋_GB2312" w:cs="仿宋_GB2312"/>
          <w:color w:val="000000"/>
          <w:sz w:val="32"/>
          <w:szCs w:val="36"/>
          <w:lang w:val="en-US" w:eastAsia="zh-CN"/>
        </w:rPr>
        <w:t>日前由所在设区市发展改革委或行业主管部门统一函送自治区发展改革委。经复核后，因不满足基础条件未通过复核的，我委将在下一年度限制报送推荐名额。</w:t>
      </w:r>
    </w:p>
    <w:p w14:paraId="389DC06D">
      <w:pPr>
        <w:pStyle w:val="13"/>
        <w:keepNext w:val="0"/>
        <w:keepLines w:val="0"/>
        <w:pageBreakBefore w:val="0"/>
        <w:widowControl w:val="0"/>
        <w:suppressLineNumbers w:val="0"/>
        <w:kinsoku/>
        <w:wordWrap/>
        <w:overflowPunct/>
        <w:topLinePunct w:val="0"/>
        <w:autoSpaceDE/>
        <w:autoSpaceDN/>
        <w:bidi w:val="0"/>
        <w:adjustRightInd/>
        <w:snapToGrid/>
        <w:spacing w:line="540" w:lineRule="exact"/>
        <w:ind w:left="0" w:firstLine="640"/>
        <w:jc w:val="both"/>
        <w:textAlignment w:val="auto"/>
        <w:outlineLvl w:val="9"/>
        <w:rPr>
          <w:rFonts w:hint="eastAsia" w:ascii="仿宋_GB2312" w:hAnsi="宋体" w:eastAsia="仿宋_GB2312" w:cs="仿宋_GB2312"/>
          <w:color w:val="000000"/>
          <w:sz w:val="32"/>
          <w:szCs w:val="36"/>
          <w:lang w:val="en-US" w:eastAsia="zh-CN"/>
        </w:rPr>
      </w:pPr>
      <w:r>
        <w:rPr>
          <w:rFonts w:hint="eastAsia" w:ascii="仿宋_GB2312" w:hAnsi="宋体" w:eastAsia="仿宋_GB2312" w:cs="仿宋_GB2312"/>
          <w:color w:val="000000"/>
          <w:sz w:val="32"/>
          <w:szCs w:val="36"/>
          <w:lang w:val="en-US" w:eastAsia="zh-CN"/>
        </w:rPr>
        <w:t>（三）待2025年自治区工程研究中心</w:t>
      </w:r>
      <w:r>
        <w:rPr>
          <w:rFonts w:hint="eastAsia" w:ascii="仿宋_GB2312" w:eastAsia="仿宋_GB2312" w:cs="仿宋_GB2312"/>
          <w:color w:val="000000"/>
          <w:sz w:val="32"/>
          <w:szCs w:val="36"/>
          <w:lang w:val="en-US" w:eastAsia="zh-CN"/>
        </w:rPr>
        <w:t>（</w:t>
      </w:r>
      <w:r>
        <w:rPr>
          <w:rFonts w:hint="eastAsia" w:ascii="仿宋_GB2312" w:hAnsi="仿宋_GB2312" w:eastAsia="仿宋_GB2312" w:cs="仿宋_GB2312"/>
          <w:snapToGrid w:val="0"/>
          <w:color w:val="auto"/>
          <w:kern w:val="0"/>
          <w:sz w:val="32"/>
          <w:szCs w:val="36"/>
          <w:lang w:val="en-US" w:eastAsia="zh-CN" w:bidi="ar-SA"/>
        </w:rPr>
        <w:t>自治区人工智能场景工程研究中心）</w:t>
      </w:r>
      <w:r>
        <w:rPr>
          <w:rFonts w:hint="eastAsia" w:ascii="仿宋_GB2312" w:hAnsi="宋体" w:eastAsia="仿宋_GB2312" w:cs="仿宋_GB2312"/>
          <w:color w:val="000000"/>
          <w:sz w:val="32"/>
          <w:szCs w:val="36"/>
          <w:lang w:val="en-US" w:eastAsia="zh-CN"/>
        </w:rPr>
        <w:t>认定公布后，获批申报单位需将申请报告（含配套数据证明材料）按顺序装订成册，报送纸质版材料一式两份至我委备案存档。评价工作不需要报送纸质版材料。</w:t>
      </w:r>
    </w:p>
    <w:p w14:paraId="3CD64F02">
      <w:pPr>
        <w:pStyle w:val="13"/>
        <w:keepNext w:val="0"/>
        <w:keepLines w:val="0"/>
        <w:pageBreakBefore w:val="0"/>
        <w:widowControl w:val="0"/>
        <w:suppressLineNumbers w:val="0"/>
        <w:kinsoku/>
        <w:wordWrap/>
        <w:overflowPunct/>
        <w:topLinePunct w:val="0"/>
        <w:autoSpaceDE/>
        <w:autoSpaceDN/>
        <w:bidi w:val="0"/>
        <w:adjustRightInd/>
        <w:snapToGrid/>
        <w:spacing w:line="540" w:lineRule="exact"/>
        <w:ind w:left="0" w:firstLine="640"/>
        <w:jc w:val="both"/>
        <w:textAlignment w:val="auto"/>
        <w:outlineLvl w:val="9"/>
        <w:rPr>
          <w:rFonts w:hint="eastAsia" w:ascii="仿宋_GB2312" w:hAnsi="宋体" w:eastAsia="仿宋_GB2312" w:cs="仿宋_GB2312"/>
          <w:color w:val="000000"/>
          <w:sz w:val="32"/>
          <w:szCs w:val="36"/>
          <w:lang w:val="en-US" w:eastAsia="zh-CN"/>
        </w:rPr>
      </w:pPr>
      <w:r>
        <w:rPr>
          <w:rFonts w:hint="eastAsia" w:ascii="仿宋_GB2312" w:hAnsi="宋体" w:eastAsia="仿宋_GB2312" w:cs="仿宋_GB2312"/>
          <w:color w:val="000000"/>
          <w:sz w:val="32"/>
          <w:szCs w:val="36"/>
          <w:lang w:val="en-US" w:eastAsia="zh-CN"/>
        </w:rPr>
        <w:t>（四）我委将组织专家或委托评估咨询机构进行评审论证，结果经公示后向社会公布。</w:t>
      </w:r>
    </w:p>
    <w:p w14:paraId="5C229374">
      <w:pPr>
        <w:pStyle w:val="13"/>
        <w:keepNext w:val="0"/>
        <w:keepLines w:val="0"/>
        <w:pageBreakBefore w:val="0"/>
        <w:widowControl w:val="0"/>
        <w:suppressLineNumbers w:val="0"/>
        <w:kinsoku/>
        <w:wordWrap/>
        <w:overflowPunct/>
        <w:topLinePunct w:val="0"/>
        <w:autoSpaceDE/>
        <w:autoSpaceDN/>
        <w:bidi w:val="0"/>
        <w:adjustRightInd/>
        <w:snapToGrid/>
        <w:spacing w:line="540" w:lineRule="exact"/>
        <w:ind w:left="0" w:firstLine="640"/>
        <w:jc w:val="both"/>
        <w:textAlignment w:val="auto"/>
        <w:outlineLvl w:val="9"/>
        <w:rPr>
          <w:sz w:val="32"/>
          <w:szCs w:val="36"/>
        </w:rPr>
      </w:pPr>
      <w:r>
        <w:rPr>
          <w:rFonts w:hint="eastAsia" w:ascii="仿宋_GB2312" w:hAnsi="宋体" w:eastAsia="仿宋_GB2312" w:cs="仿宋_GB2312"/>
          <w:color w:val="000000"/>
          <w:sz w:val="32"/>
          <w:szCs w:val="36"/>
          <w:lang w:val="en-US" w:eastAsia="zh-CN"/>
        </w:rPr>
        <w:t>未尽事宜，请联系自治区发展改革委高技处</w:t>
      </w:r>
      <w:r>
        <w:rPr>
          <w:rFonts w:hint="eastAsia" w:ascii="仿宋_GB2312" w:eastAsia="仿宋_GB2312" w:cs="仿宋_GB2312"/>
          <w:color w:val="000000"/>
          <w:sz w:val="32"/>
          <w:szCs w:val="36"/>
          <w:lang w:val="en-US" w:eastAsia="zh-CN"/>
        </w:rPr>
        <w:t>黄中山、皮小明</w:t>
      </w:r>
      <w:r>
        <w:rPr>
          <w:rFonts w:hint="eastAsia" w:ascii="仿宋_GB2312" w:hAnsi="宋体" w:eastAsia="仿宋_GB2312" w:cs="仿宋_GB2312"/>
          <w:color w:val="000000"/>
          <w:sz w:val="32"/>
          <w:szCs w:val="36"/>
          <w:lang w:val="en-US" w:eastAsia="zh-CN"/>
        </w:rPr>
        <w:t>，</w:t>
      </w:r>
      <w:r>
        <w:rPr>
          <w:rFonts w:hint="eastAsia" w:ascii="仿宋_GB2312" w:eastAsia="仿宋_GB2312" w:cs="仿宋_GB2312"/>
          <w:color w:val="000000"/>
          <w:sz w:val="32"/>
          <w:szCs w:val="36"/>
          <w:lang w:val="en-US" w:eastAsia="zh-CN"/>
        </w:rPr>
        <w:t>0</w:t>
      </w:r>
      <w:r>
        <w:rPr>
          <w:rFonts w:hint="eastAsia" w:ascii="仿宋_GB2312" w:eastAsia="仿宋_GB2312" w:cs="仿宋_GB2312"/>
          <w:color w:val="000000"/>
          <w:sz w:val="32"/>
          <w:szCs w:val="36"/>
        </w:rPr>
        <w:t>771-2328</w:t>
      </w:r>
      <w:r>
        <w:rPr>
          <w:rFonts w:hint="eastAsia" w:ascii="仿宋_GB2312" w:eastAsia="仿宋_GB2312" w:cs="仿宋_GB2312"/>
          <w:color w:val="000000"/>
          <w:sz w:val="32"/>
          <w:szCs w:val="36"/>
          <w:lang w:val="en-US" w:eastAsia="zh-CN"/>
        </w:rPr>
        <w:t>841/2328308</w:t>
      </w:r>
      <w:r>
        <w:rPr>
          <w:rFonts w:hint="eastAsia" w:ascii="仿宋_GB2312" w:eastAsia="仿宋_GB2312" w:cs="仿宋_GB2312"/>
          <w:color w:val="000000"/>
          <w:sz w:val="32"/>
          <w:szCs w:val="36"/>
        </w:rPr>
        <w:t>。</w:t>
      </w:r>
    </w:p>
    <w:p w14:paraId="35A8B2DC">
      <w:pPr>
        <w:keepNext w:val="0"/>
        <w:keepLines w:val="0"/>
        <w:pageBreakBefore w:val="0"/>
        <w:widowControl w:val="0"/>
        <w:suppressLineNumbers w:val="0"/>
        <w:kinsoku/>
        <w:wordWrap/>
        <w:overflowPunct/>
        <w:topLinePunct w:val="0"/>
        <w:autoSpaceDE/>
        <w:autoSpaceDN/>
        <w:bidi w:val="0"/>
        <w:adjustRightInd/>
        <w:snapToGrid/>
        <w:spacing w:line="500" w:lineRule="exact"/>
        <w:ind w:left="0" w:firstLine="641"/>
        <w:jc w:val="both"/>
        <w:textAlignment w:val="auto"/>
        <w:outlineLvl w:val="9"/>
        <w:rPr>
          <w:rFonts w:hint="eastAsia" w:ascii="仿宋_GB2312" w:hAnsi="宋体" w:eastAsia="仿宋_GB2312" w:cs="仿宋_GB2312"/>
          <w:color w:val="000000"/>
          <w:kern w:val="0"/>
          <w:sz w:val="32"/>
          <w:szCs w:val="36"/>
          <w:lang w:val="en-US" w:eastAsia="zh-CN" w:bidi="ar"/>
        </w:rPr>
      </w:pPr>
    </w:p>
    <w:p w14:paraId="71D24505">
      <w:pPr>
        <w:keepNext w:val="0"/>
        <w:keepLines w:val="0"/>
        <w:pageBreakBefore w:val="0"/>
        <w:widowControl w:val="0"/>
        <w:suppressLineNumbers w:val="0"/>
        <w:kinsoku/>
        <w:wordWrap/>
        <w:overflowPunct/>
        <w:topLinePunct w:val="0"/>
        <w:autoSpaceDE/>
        <w:autoSpaceDN/>
        <w:bidi w:val="0"/>
        <w:adjustRightInd/>
        <w:snapToGrid/>
        <w:spacing w:line="540" w:lineRule="exact"/>
        <w:ind w:left="0" w:firstLine="616" w:firstLineChars="200"/>
        <w:jc w:val="both"/>
        <w:textAlignment w:val="auto"/>
        <w:outlineLvl w:val="9"/>
        <w:rPr>
          <w:rFonts w:hint="eastAsia" w:ascii="仿宋_GB2312" w:hAnsi="宋体" w:eastAsia="仿宋_GB2312" w:cs="仿宋_GB2312"/>
          <w:color w:val="000000"/>
          <w:kern w:val="0"/>
          <w:sz w:val="32"/>
          <w:szCs w:val="36"/>
          <w:lang w:val="en-US" w:eastAsia="zh-CN" w:bidi="ar"/>
        </w:rPr>
      </w:pPr>
      <w:r>
        <w:rPr>
          <w:rFonts w:hint="eastAsia" w:ascii="仿宋_GB2312" w:hAnsi="宋体" w:eastAsia="仿宋_GB2312" w:cs="仿宋_GB2312"/>
          <w:color w:val="000000"/>
          <w:kern w:val="0"/>
          <w:sz w:val="32"/>
          <w:szCs w:val="36"/>
          <w:lang w:val="en-US" w:eastAsia="zh-CN" w:bidi="ar"/>
        </w:rPr>
        <w:t>附件：1.2025年广西壮族自治区工程研究中心（或人工</w:t>
      </w:r>
    </w:p>
    <w:p w14:paraId="3CFCE23B">
      <w:pPr>
        <w:keepNext w:val="0"/>
        <w:keepLines w:val="0"/>
        <w:pageBreakBefore w:val="0"/>
        <w:widowControl w:val="0"/>
        <w:suppressLineNumbers w:val="0"/>
        <w:kinsoku/>
        <w:wordWrap/>
        <w:overflowPunct/>
        <w:topLinePunct w:val="0"/>
        <w:autoSpaceDE/>
        <w:autoSpaceDN/>
        <w:bidi w:val="0"/>
        <w:adjustRightInd/>
        <w:snapToGrid/>
        <w:spacing w:line="540" w:lineRule="exact"/>
        <w:ind w:left="0" w:firstLine="1848" w:firstLineChars="600"/>
        <w:jc w:val="both"/>
        <w:textAlignment w:val="auto"/>
        <w:rPr>
          <w:rFonts w:hint="eastAsia" w:ascii="仿宋_GB2312" w:hAnsi="宋体" w:eastAsia="仿宋_GB2312" w:cs="仿宋_GB2312"/>
          <w:color w:val="000000"/>
          <w:kern w:val="0"/>
          <w:sz w:val="32"/>
          <w:szCs w:val="36"/>
          <w:lang w:val="en-US" w:eastAsia="zh-CN" w:bidi="ar"/>
        </w:rPr>
      </w:pPr>
      <w:r>
        <w:rPr>
          <w:rFonts w:hint="eastAsia" w:ascii="仿宋_GB2312" w:hAnsi="宋体" w:eastAsia="仿宋_GB2312" w:cs="仿宋_GB2312"/>
          <w:color w:val="000000"/>
          <w:kern w:val="0"/>
          <w:sz w:val="32"/>
          <w:szCs w:val="36"/>
          <w:lang w:val="en-US" w:eastAsia="zh-CN" w:bidi="ar"/>
        </w:rPr>
        <w:t>智能场景工程研究中心）申请报告</w:t>
      </w:r>
    </w:p>
    <w:p w14:paraId="3C46C664">
      <w:pPr>
        <w:pStyle w:val="13"/>
        <w:keepNext w:val="0"/>
        <w:keepLines w:val="0"/>
        <w:pageBreakBefore w:val="0"/>
        <w:widowControl w:val="0"/>
        <w:suppressLineNumbers w:val="0"/>
        <w:kinsoku/>
        <w:wordWrap/>
        <w:overflowPunct/>
        <w:topLinePunct w:val="0"/>
        <w:autoSpaceDE/>
        <w:autoSpaceDN/>
        <w:bidi w:val="0"/>
        <w:adjustRightInd/>
        <w:snapToGrid/>
        <w:spacing w:line="540" w:lineRule="exact"/>
        <w:ind w:firstLine="1540" w:firstLineChars="500"/>
        <w:jc w:val="both"/>
        <w:textAlignment w:val="auto"/>
        <w:outlineLvl w:val="9"/>
        <w:rPr>
          <w:rFonts w:hint="eastAsia" w:ascii="仿宋_GB2312" w:hAnsi="宋体" w:eastAsia="仿宋_GB2312" w:cs="仿宋_GB2312"/>
          <w:color w:val="000000"/>
          <w:kern w:val="0"/>
          <w:sz w:val="32"/>
          <w:szCs w:val="36"/>
          <w:lang w:val="en-US" w:eastAsia="zh-CN" w:bidi="ar"/>
        </w:rPr>
      </w:pPr>
      <w:r>
        <w:rPr>
          <w:rFonts w:hint="eastAsia" w:ascii="仿宋_GB2312" w:hAnsi="宋体" w:eastAsia="仿宋_GB2312" w:cs="仿宋_GB2312"/>
          <w:color w:val="000000"/>
          <w:kern w:val="0"/>
          <w:sz w:val="32"/>
          <w:szCs w:val="36"/>
          <w:lang w:val="en-US" w:eastAsia="zh-CN" w:bidi="ar"/>
        </w:rPr>
        <w:t>2.2025年广西壮族自治区工程研究中心（或人工</w:t>
      </w:r>
    </w:p>
    <w:p w14:paraId="57112D32">
      <w:pPr>
        <w:pStyle w:val="13"/>
        <w:keepNext w:val="0"/>
        <w:keepLines w:val="0"/>
        <w:pageBreakBefore w:val="0"/>
        <w:widowControl w:val="0"/>
        <w:suppressLineNumbers w:val="0"/>
        <w:kinsoku/>
        <w:wordWrap/>
        <w:overflowPunct/>
        <w:topLinePunct w:val="0"/>
        <w:autoSpaceDE/>
        <w:autoSpaceDN/>
        <w:bidi w:val="0"/>
        <w:adjustRightInd/>
        <w:snapToGrid/>
        <w:spacing w:line="540" w:lineRule="exact"/>
        <w:ind w:firstLine="1848" w:firstLineChars="600"/>
        <w:jc w:val="both"/>
        <w:textAlignment w:val="auto"/>
        <w:outlineLvl w:val="9"/>
        <w:rPr>
          <w:rFonts w:hint="eastAsia" w:ascii="仿宋_GB2312" w:hAnsi="宋体" w:eastAsia="仿宋_GB2312" w:cs="仿宋_GB2312"/>
          <w:color w:val="000000"/>
          <w:kern w:val="0"/>
          <w:sz w:val="32"/>
          <w:szCs w:val="36"/>
          <w:lang w:val="en-US" w:eastAsia="zh-CN" w:bidi="ar"/>
        </w:rPr>
      </w:pPr>
      <w:r>
        <w:rPr>
          <w:rFonts w:hint="eastAsia" w:ascii="仿宋_GB2312" w:hAnsi="宋体" w:eastAsia="仿宋_GB2312" w:cs="仿宋_GB2312"/>
          <w:color w:val="000000"/>
          <w:kern w:val="0"/>
          <w:sz w:val="32"/>
          <w:szCs w:val="36"/>
          <w:lang w:val="en-US" w:eastAsia="zh-CN" w:bidi="ar"/>
        </w:rPr>
        <w:t>智能场景工程研究中心）申报数据证明材料</w:t>
      </w:r>
    </w:p>
    <w:p w14:paraId="12EFEC6E">
      <w:pPr>
        <w:pStyle w:val="13"/>
        <w:keepNext w:val="0"/>
        <w:keepLines w:val="0"/>
        <w:pageBreakBefore w:val="0"/>
        <w:widowControl w:val="0"/>
        <w:suppressLineNumbers w:val="0"/>
        <w:kinsoku/>
        <w:wordWrap/>
        <w:overflowPunct/>
        <w:topLinePunct w:val="0"/>
        <w:autoSpaceDE/>
        <w:autoSpaceDN/>
        <w:bidi w:val="0"/>
        <w:adjustRightInd/>
        <w:snapToGrid/>
        <w:spacing w:line="540" w:lineRule="exact"/>
        <w:ind w:firstLine="1540" w:firstLineChars="500"/>
        <w:jc w:val="both"/>
        <w:textAlignment w:val="auto"/>
        <w:outlineLvl w:val="9"/>
        <w:rPr>
          <w:rFonts w:hint="eastAsia" w:ascii="仿宋_GB2312" w:hAnsi="宋体" w:eastAsia="仿宋_GB2312" w:cs="仿宋_GB2312"/>
          <w:color w:val="000000"/>
          <w:kern w:val="0"/>
          <w:sz w:val="32"/>
          <w:szCs w:val="36"/>
          <w:lang w:val="en-US" w:eastAsia="zh-CN" w:bidi="ar"/>
        </w:rPr>
      </w:pPr>
      <w:r>
        <w:rPr>
          <w:rFonts w:hint="eastAsia" w:ascii="仿宋_GB2312" w:hAnsi="宋体" w:eastAsia="仿宋_GB2312" w:cs="仿宋_GB2312"/>
          <w:color w:val="000000"/>
          <w:kern w:val="0"/>
          <w:sz w:val="32"/>
          <w:szCs w:val="36"/>
          <w:lang w:val="en-US" w:eastAsia="zh-CN" w:bidi="ar"/>
        </w:rPr>
        <w:t>3.2025年广西壮族自治区工程研究中心评价报告</w:t>
      </w:r>
    </w:p>
    <w:p w14:paraId="7A9D82B3">
      <w:pPr>
        <w:pStyle w:val="13"/>
        <w:keepNext w:val="0"/>
        <w:keepLines w:val="0"/>
        <w:pageBreakBefore w:val="0"/>
        <w:widowControl w:val="0"/>
        <w:suppressLineNumbers w:val="0"/>
        <w:kinsoku/>
        <w:wordWrap/>
        <w:overflowPunct/>
        <w:topLinePunct w:val="0"/>
        <w:autoSpaceDE/>
        <w:autoSpaceDN/>
        <w:bidi w:val="0"/>
        <w:adjustRightInd/>
        <w:snapToGrid/>
        <w:spacing w:line="540" w:lineRule="exact"/>
        <w:ind w:firstLine="1540" w:firstLineChars="500"/>
        <w:jc w:val="both"/>
        <w:textAlignment w:val="auto"/>
        <w:outlineLvl w:val="9"/>
        <w:rPr>
          <w:rFonts w:hint="eastAsia" w:ascii="仿宋_GB2312" w:hAnsi="宋体" w:eastAsia="仿宋_GB2312" w:cs="仿宋_GB2312"/>
          <w:color w:val="000000"/>
          <w:kern w:val="0"/>
          <w:sz w:val="32"/>
          <w:szCs w:val="36"/>
          <w:lang w:val="en-US" w:eastAsia="zh-CN" w:bidi="ar"/>
        </w:rPr>
      </w:pPr>
      <w:r>
        <w:rPr>
          <w:rFonts w:hint="eastAsia" w:ascii="仿宋_GB2312" w:hAnsi="宋体" w:eastAsia="仿宋_GB2312" w:cs="仿宋_GB2312"/>
          <w:color w:val="000000"/>
          <w:kern w:val="0"/>
          <w:sz w:val="32"/>
          <w:szCs w:val="36"/>
          <w:lang w:val="en-US" w:eastAsia="zh-CN" w:bidi="ar"/>
        </w:rPr>
        <w:t>4.2025年广西壮族自治区工程研究中心评价数据</w:t>
      </w:r>
    </w:p>
    <w:p w14:paraId="4599E248">
      <w:pPr>
        <w:pStyle w:val="13"/>
        <w:keepNext w:val="0"/>
        <w:keepLines w:val="0"/>
        <w:pageBreakBefore w:val="0"/>
        <w:widowControl w:val="0"/>
        <w:suppressLineNumbers w:val="0"/>
        <w:kinsoku/>
        <w:wordWrap/>
        <w:overflowPunct/>
        <w:topLinePunct w:val="0"/>
        <w:autoSpaceDE/>
        <w:autoSpaceDN/>
        <w:bidi w:val="0"/>
        <w:adjustRightInd/>
        <w:snapToGrid/>
        <w:spacing w:line="540" w:lineRule="exact"/>
        <w:ind w:firstLine="1848" w:firstLineChars="600"/>
        <w:jc w:val="both"/>
        <w:textAlignment w:val="auto"/>
        <w:outlineLvl w:val="9"/>
        <w:rPr>
          <w:rFonts w:hint="eastAsia" w:ascii="仿宋_GB2312" w:hAnsi="宋体" w:eastAsia="仿宋_GB2312" w:cs="仿宋_GB2312"/>
          <w:color w:val="000000"/>
          <w:kern w:val="0"/>
          <w:sz w:val="32"/>
          <w:szCs w:val="36"/>
          <w:lang w:val="en-US" w:eastAsia="zh-CN" w:bidi="ar"/>
        </w:rPr>
      </w:pPr>
      <w:r>
        <w:rPr>
          <w:rFonts w:hint="eastAsia" w:ascii="仿宋_GB2312" w:hAnsi="宋体" w:eastAsia="仿宋_GB2312" w:cs="仿宋_GB2312"/>
          <w:color w:val="000000"/>
          <w:kern w:val="0"/>
          <w:sz w:val="32"/>
          <w:szCs w:val="36"/>
          <w:lang w:val="en-US" w:eastAsia="zh-CN" w:bidi="ar"/>
        </w:rPr>
        <w:t>证明材料</w:t>
      </w:r>
    </w:p>
    <w:p w14:paraId="1BCAAE2D">
      <w:pPr>
        <w:pStyle w:val="13"/>
        <w:keepNext w:val="0"/>
        <w:keepLines w:val="0"/>
        <w:pageBreakBefore w:val="0"/>
        <w:widowControl w:val="0"/>
        <w:suppressLineNumbers w:val="0"/>
        <w:kinsoku/>
        <w:wordWrap/>
        <w:overflowPunct/>
        <w:topLinePunct w:val="0"/>
        <w:autoSpaceDE/>
        <w:autoSpaceDN/>
        <w:bidi w:val="0"/>
        <w:adjustRightInd/>
        <w:snapToGrid/>
        <w:spacing w:line="540" w:lineRule="exact"/>
        <w:ind w:firstLine="1540" w:firstLineChars="500"/>
        <w:jc w:val="both"/>
        <w:textAlignment w:val="auto"/>
        <w:outlineLvl w:val="9"/>
        <w:rPr>
          <w:rFonts w:hint="eastAsia" w:ascii="仿宋_GB2312" w:hAnsi="宋体" w:eastAsia="仿宋_GB2312" w:cs="仿宋_GB2312"/>
          <w:color w:val="000000"/>
          <w:kern w:val="0"/>
          <w:sz w:val="32"/>
          <w:szCs w:val="36"/>
          <w:lang w:val="en-US" w:eastAsia="zh-CN" w:bidi="ar"/>
        </w:rPr>
      </w:pPr>
      <w:r>
        <w:rPr>
          <w:rFonts w:hint="eastAsia" w:ascii="仿宋_GB2312" w:hAnsi="宋体" w:eastAsia="仿宋_GB2312" w:cs="仿宋_GB2312"/>
          <w:color w:val="000000"/>
          <w:kern w:val="0"/>
          <w:sz w:val="32"/>
          <w:szCs w:val="36"/>
          <w:lang w:val="en-US" w:eastAsia="zh-CN" w:bidi="ar"/>
        </w:rPr>
        <w:t>5.各有关</w:t>
      </w:r>
      <w:r>
        <w:rPr>
          <w:rFonts w:hint="eastAsia" w:ascii="仿宋_GB2312" w:hAnsi="宋体" w:eastAsia="仿宋_GB2312" w:cs="仿宋_GB2312"/>
          <w:color w:val="000000"/>
          <w:spacing w:val="-6"/>
          <w:kern w:val="0"/>
          <w:sz w:val="32"/>
          <w:szCs w:val="36"/>
          <w:lang w:val="en-US" w:eastAsia="zh-CN" w:bidi="ar"/>
        </w:rPr>
        <w:t>单位和设区市发展改革委审核报送数据</w:t>
      </w:r>
      <w:r>
        <w:rPr>
          <w:rFonts w:hint="eastAsia" w:ascii="仿宋_GB2312" w:eastAsia="仿宋_GB2312" w:cs="仿宋_GB2312"/>
          <w:color w:val="000000"/>
          <w:spacing w:val="-6"/>
          <w:kern w:val="0"/>
          <w:sz w:val="32"/>
          <w:szCs w:val="36"/>
          <w:lang w:val="en-US" w:eastAsia="zh-CN" w:bidi="ar"/>
        </w:rPr>
        <w:t>表</w:t>
      </w:r>
    </w:p>
    <w:p w14:paraId="0D7E9109">
      <w:pPr>
        <w:pStyle w:val="13"/>
        <w:keepNext w:val="0"/>
        <w:keepLines w:val="0"/>
        <w:pageBreakBefore w:val="0"/>
        <w:widowControl w:val="0"/>
        <w:suppressLineNumbers w:val="0"/>
        <w:kinsoku/>
        <w:wordWrap/>
        <w:overflowPunct/>
        <w:topLinePunct w:val="0"/>
        <w:autoSpaceDE/>
        <w:autoSpaceDN/>
        <w:bidi w:val="0"/>
        <w:adjustRightInd/>
        <w:snapToGrid/>
        <w:spacing w:line="540" w:lineRule="exact"/>
        <w:ind w:firstLine="1540" w:firstLineChars="500"/>
        <w:jc w:val="both"/>
        <w:textAlignment w:val="auto"/>
        <w:outlineLvl w:val="9"/>
        <w:rPr>
          <w:rFonts w:hint="eastAsia" w:ascii="仿宋_GB2312" w:hAnsi="宋体" w:eastAsia="仿宋_GB2312" w:cs="仿宋_GB2312"/>
          <w:color w:val="000000"/>
          <w:kern w:val="0"/>
          <w:sz w:val="32"/>
          <w:szCs w:val="36"/>
          <w:lang w:val="en-US" w:eastAsia="zh-CN" w:bidi="ar"/>
        </w:rPr>
      </w:pPr>
      <w:r>
        <w:rPr>
          <w:rFonts w:hint="eastAsia" w:ascii="仿宋_GB2312" w:hAnsi="宋体" w:eastAsia="仿宋_GB2312" w:cs="仿宋_GB2312"/>
          <w:color w:val="000000"/>
          <w:kern w:val="0"/>
          <w:sz w:val="32"/>
          <w:szCs w:val="36"/>
          <w:lang w:val="en-US" w:eastAsia="zh-CN" w:bidi="ar"/>
        </w:rPr>
        <w:t>6.广西壮</w:t>
      </w:r>
      <w:r>
        <w:rPr>
          <w:rFonts w:hint="eastAsia" w:ascii="仿宋_GB2312" w:hAnsi="宋体" w:eastAsia="仿宋_GB2312" w:cs="仿宋_GB2312"/>
          <w:color w:val="000000"/>
          <w:spacing w:val="-6"/>
          <w:kern w:val="0"/>
          <w:sz w:val="32"/>
          <w:szCs w:val="36"/>
          <w:lang w:val="en-US" w:eastAsia="zh-CN" w:bidi="ar"/>
        </w:rPr>
        <w:t>族自治区工程研究中心（或人工智能场景</w:t>
      </w:r>
    </w:p>
    <w:p w14:paraId="7F52A1F7">
      <w:pPr>
        <w:pStyle w:val="13"/>
        <w:keepNext w:val="0"/>
        <w:keepLines w:val="0"/>
        <w:pageBreakBefore w:val="0"/>
        <w:widowControl w:val="0"/>
        <w:suppressLineNumbers w:val="0"/>
        <w:kinsoku/>
        <w:wordWrap/>
        <w:overflowPunct/>
        <w:topLinePunct w:val="0"/>
        <w:autoSpaceDE/>
        <w:autoSpaceDN/>
        <w:bidi w:val="0"/>
        <w:adjustRightInd/>
        <w:snapToGrid/>
        <w:spacing w:line="540" w:lineRule="exact"/>
        <w:ind w:firstLine="1848" w:firstLineChars="600"/>
        <w:jc w:val="both"/>
        <w:textAlignment w:val="auto"/>
        <w:outlineLvl w:val="9"/>
        <w:rPr>
          <w:rFonts w:hint="eastAsia" w:ascii="仿宋_GB2312" w:hAnsi="宋体" w:eastAsia="仿宋_GB2312" w:cs="仿宋_GB2312"/>
          <w:color w:val="000000"/>
          <w:kern w:val="0"/>
          <w:sz w:val="32"/>
          <w:szCs w:val="36"/>
          <w:lang w:val="en-US" w:eastAsia="zh-CN" w:bidi="ar"/>
        </w:rPr>
      </w:pPr>
      <w:r>
        <w:rPr>
          <w:rFonts w:hint="eastAsia" w:ascii="仿宋_GB2312" w:hAnsi="宋体" w:eastAsia="仿宋_GB2312" w:cs="仿宋_GB2312"/>
          <w:color w:val="000000"/>
          <w:kern w:val="0"/>
          <w:sz w:val="32"/>
          <w:szCs w:val="36"/>
          <w:lang w:val="en-US" w:eastAsia="zh-CN" w:bidi="ar"/>
        </w:rPr>
        <w:t>工程研究中心）申报与评价系统操作指南</w:t>
      </w:r>
    </w:p>
    <w:p w14:paraId="53EB5986">
      <w:pPr>
        <w:pStyle w:val="13"/>
        <w:keepNext w:val="0"/>
        <w:keepLines w:val="0"/>
        <w:pageBreakBefore w:val="0"/>
        <w:widowControl w:val="0"/>
        <w:suppressLineNumbers w:val="0"/>
        <w:kinsoku/>
        <w:wordWrap/>
        <w:overflowPunct/>
        <w:topLinePunct w:val="0"/>
        <w:autoSpaceDE/>
        <w:autoSpaceDN/>
        <w:bidi w:val="0"/>
        <w:adjustRightInd/>
        <w:snapToGrid/>
        <w:spacing w:line="540" w:lineRule="exact"/>
        <w:ind w:firstLine="1540" w:firstLineChars="500"/>
        <w:jc w:val="both"/>
        <w:textAlignment w:val="auto"/>
        <w:rPr>
          <w:rFonts w:hint="eastAsia" w:ascii="仿宋_GB2312" w:hAnsi="宋体" w:eastAsia="仿宋_GB2312" w:cs="仿宋_GB2312"/>
          <w:color w:val="000000"/>
          <w:kern w:val="0"/>
          <w:sz w:val="32"/>
          <w:szCs w:val="36"/>
          <w:lang w:val="en-US" w:eastAsia="zh-CN" w:bidi="ar"/>
        </w:rPr>
      </w:pPr>
      <w:r>
        <w:rPr>
          <w:rFonts w:hint="eastAsia" w:ascii="仿宋_GB2312" w:hAnsi="宋体" w:eastAsia="仿宋_GB2312" w:cs="仿宋_GB2312"/>
          <w:color w:val="000000"/>
          <w:kern w:val="0"/>
          <w:sz w:val="32"/>
          <w:szCs w:val="36"/>
          <w:lang w:val="en-US" w:eastAsia="zh-CN" w:bidi="ar"/>
        </w:rPr>
        <w:t>7.广西壮族自治区工程研究中心管理办法</w:t>
      </w:r>
    </w:p>
    <w:p w14:paraId="44331574">
      <w:pPr>
        <w:pStyle w:val="13"/>
        <w:keepNext w:val="0"/>
        <w:keepLines w:val="0"/>
        <w:pageBreakBefore w:val="0"/>
        <w:widowControl w:val="0"/>
        <w:suppressLineNumbers w:val="0"/>
        <w:kinsoku/>
        <w:wordWrap/>
        <w:overflowPunct/>
        <w:topLinePunct w:val="0"/>
        <w:autoSpaceDE/>
        <w:autoSpaceDN/>
        <w:bidi w:val="0"/>
        <w:adjustRightInd/>
        <w:snapToGrid/>
        <w:spacing w:line="540" w:lineRule="exact"/>
        <w:ind w:firstLine="1540" w:firstLineChars="500"/>
        <w:jc w:val="both"/>
        <w:textAlignment w:val="auto"/>
        <w:rPr>
          <w:rFonts w:hint="eastAsia" w:ascii="仿宋_GB2312" w:hAnsi="宋体" w:eastAsia="仿宋_GB2312" w:cs="仿宋_GB2312"/>
          <w:color w:val="000000"/>
          <w:kern w:val="0"/>
          <w:sz w:val="32"/>
          <w:szCs w:val="36"/>
          <w:lang w:val="en-US" w:eastAsia="zh-CN" w:bidi="ar"/>
        </w:rPr>
      </w:pPr>
      <w:r>
        <w:rPr>
          <w:rFonts w:hint="eastAsia" w:ascii="仿宋_GB2312" w:hAnsi="宋体" w:eastAsia="仿宋_GB2312" w:cs="仿宋_GB2312"/>
          <w:color w:val="000000"/>
          <w:kern w:val="0"/>
          <w:sz w:val="32"/>
          <w:szCs w:val="36"/>
          <w:lang w:val="en-US" w:eastAsia="zh-CN" w:bidi="ar"/>
        </w:rPr>
        <w:t>8.2025年</w:t>
      </w:r>
      <w:r>
        <w:rPr>
          <w:rFonts w:hint="eastAsia" w:ascii="仿宋_GB2312" w:hAnsi="宋体" w:eastAsia="仿宋_GB2312" w:cs="仿宋_GB2312"/>
          <w:color w:val="000000"/>
          <w:spacing w:val="-6"/>
          <w:kern w:val="0"/>
          <w:sz w:val="32"/>
          <w:szCs w:val="36"/>
          <w:lang w:val="en-US" w:eastAsia="zh-CN" w:bidi="ar"/>
        </w:rPr>
        <w:t>广西壮族自治区工程研究中心拟评价名单</w:t>
      </w:r>
    </w:p>
    <w:p w14:paraId="06A998A1">
      <w:pPr>
        <w:pStyle w:val="13"/>
        <w:keepNext w:val="0"/>
        <w:keepLines w:val="0"/>
        <w:pageBreakBefore w:val="0"/>
        <w:widowControl w:val="0"/>
        <w:suppressLineNumbers w:val="0"/>
        <w:kinsoku/>
        <w:wordWrap/>
        <w:overflowPunct/>
        <w:topLinePunct w:val="0"/>
        <w:autoSpaceDE/>
        <w:autoSpaceDN/>
        <w:bidi w:val="0"/>
        <w:adjustRightInd/>
        <w:snapToGrid/>
        <w:spacing w:line="540" w:lineRule="exact"/>
        <w:ind w:firstLine="1540" w:firstLineChars="500"/>
        <w:jc w:val="both"/>
        <w:textAlignment w:val="auto"/>
        <w:rPr>
          <w:rFonts w:hint="eastAsia" w:ascii="仿宋_GB2312" w:hAnsi="宋体" w:eastAsia="仿宋_GB2312" w:cs="仿宋_GB2312"/>
          <w:color w:val="000000"/>
          <w:kern w:val="0"/>
          <w:sz w:val="32"/>
          <w:szCs w:val="36"/>
          <w:lang w:val="en-US" w:eastAsia="zh-CN" w:bidi="ar"/>
        </w:rPr>
      </w:pPr>
      <w:r>
        <w:rPr>
          <w:rFonts w:hint="eastAsia" w:ascii="仿宋_GB2312" w:hAnsi="宋体" w:eastAsia="仿宋_GB2312" w:cs="仿宋_GB2312"/>
          <w:color w:val="000000"/>
          <w:kern w:val="0"/>
          <w:sz w:val="32"/>
          <w:szCs w:val="36"/>
          <w:lang w:val="en-US" w:eastAsia="zh-CN" w:bidi="ar"/>
        </w:rPr>
        <w:t>9.各有关单位名单</w:t>
      </w:r>
    </w:p>
    <w:p w14:paraId="2670B95B">
      <w:pPr>
        <w:keepNext w:val="0"/>
        <w:keepLines w:val="0"/>
        <w:pageBreakBefore w:val="0"/>
        <w:widowControl w:val="0"/>
        <w:kinsoku/>
        <w:wordWrap/>
        <w:overflowPunct/>
        <w:topLinePunct w:val="0"/>
        <w:autoSpaceDE/>
        <w:autoSpaceDN/>
        <w:bidi w:val="0"/>
        <w:adjustRightInd/>
        <w:snapToGrid/>
        <w:spacing w:line="500" w:lineRule="exact"/>
        <w:ind w:firstLine="616" w:firstLineChars="200"/>
        <w:textAlignment w:val="auto"/>
        <w:outlineLvl w:val="9"/>
        <w:rPr>
          <w:rFonts w:hint="eastAsia" w:ascii="仿宋_GB2312" w:hAnsi="仿宋_GB2312" w:eastAsia="仿宋_GB2312" w:cs="仿宋_GB2312"/>
        </w:rPr>
      </w:pPr>
    </w:p>
    <w:p w14:paraId="69765EED">
      <w:pPr>
        <w:keepNext w:val="0"/>
        <w:keepLines w:val="0"/>
        <w:pageBreakBefore w:val="0"/>
        <w:widowControl w:val="0"/>
        <w:kinsoku/>
        <w:wordWrap/>
        <w:overflowPunct/>
        <w:topLinePunct w:val="0"/>
        <w:autoSpaceDE/>
        <w:autoSpaceDN/>
        <w:bidi w:val="0"/>
        <w:adjustRightInd/>
        <w:snapToGrid/>
        <w:spacing w:line="500" w:lineRule="exact"/>
        <w:ind w:firstLine="616" w:firstLineChars="200"/>
        <w:textAlignment w:val="auto"/>
        <w:outlineLvl w:val="9"/>
        <w:rPr>
          <w:rFonts w:hint="eastAsia" w:ascii="仿宋_GB2312" w:hAnsi="仿宋_GB2312" w:eastAsia="仿宋_GB2312" w:cs="仿宋_GB2312"/>
        </w:rPr>
      </w:pPr>
    </w:p>
    <w:p w14:paraId="797EB9CB">
      <w:pPr>
        <w:keepNext w:val="0"/>
        <w:keepLines w:val="0"/>
        <w:pageBreakBefore w:val="0"/>
        <w:widowControl w:val="0"/>
        <w:kinsoku/>
        <w:wordWrap/>
        <w:overflowPunct/>
        <w:topLinePunct w:val="0"/>
        <w:autoSpaceDE/>
        <w:autoSpaceDN/>
        <w:bidi w:val="0"/>
        <w:adjustRightInd/>
        <w:snapToGrid/>
        <w:spacing w:line="500" w:lineRule="exact"/>
        <w:ind w:firstLine="616" w:firstLineChars="200"/>
        <w:textAlignment w:val="auto"/>
        <w:outlineLvl w:val="9"/>
        <w:rPr>
          <w:rFonts w:hint="eastAsia" w:ascii="仿宋_GB2312" w:hAnsi="仿宋_GB2312" w:eastAsia="仿宋_GB2312" w:cs="仿宋_GB2312"/>
        </w:rPr>
      </w:pPr>
    </w:p>
    <w:p w14:paraId="760039AB">
      <w:pPr>
        <w:pStyle w:val="13"/>
        <w:keepNext w:val="0"/>
        <w:keepLines w:val="0"/>
        <w:pageBreakBefore w:val="0"/>
        <w:widowControl w:val="0"/>
        <w:suppressLineNumbers w:val="0"/>
        <w:kinsoku/>
        <w:wordWrap/>
        <w:overflowPunct/>
        <w:topLinePunct w:val="0"/>
        <w:autoSpaceDE/>
        <w:autoSpaceDN/>
        <w:bidi w:val="0"/>
        <w:adjustRightInd/>
        <w:snapToGrid/>
        <w:spacing w:line="560" w:lineRule="exact"/>
        <w:ind w:firstLine="3696" w:firstLineChars="1200"/>
        <w:jc w:val="both"/>
        <w:textAlignment w:val="auto"/>
        <w:outlineLvl w:val="9"/>
        <w:rPr>
          <w:sz w:val="32"/>
          <w:szCs w:val="32"/>
        </w:rPr>
      </w:pPr>
      <w:r>
        <w:rPr>
          <w:rFonts w:ascii="仿宋_GB2312" w:eastAsia="仿宋_GB2312" w:cs="仿宋_GB2312"/>
          <w:color w:val="000000"/>
          <w:sz w:val="32"/>
          <w:szCs w:val="32"/>
        </w:rPr>
        <w:t>广西壮族自治区发展和改革委员会</w:t>
      </w:r>
    </w:p>
    <w:p w14:paraId="3B2AE716">
      <w:pPr>
        <w:pStyle w:val="13"/>
        <w:keepNext w:val="0"/>
        <w:keepLines w:val="0"/>
        <w:pageBreakBefore w:val="0"/>
        <w:widowControl w:val="0"/>
        <w:suppressLineNumbers w:val="0"/>
        <w:kinsoku/>
        <w:wordWrap/>
        <w:overflowPunct/>
        <w:topLinePunct w:val="0"/>
        <w:autoSpaceDE/>
        <w:autoSpaceDN/>
        <w:bidi w:val="0"/>
        <w:adjustRightInd/>
        <w:snapToGrid/>
        <w:spacing w:line="560" w:lineRule="exact"/>
        <w:ind w:firstLine="4867" w:firstLineChars="1580"/>
        <w:jc w:val="both"/>
        <w:textAlignment w:val="auto"/>
        <w:outlineLvl w:val="9"/>
        <w:rPr>
          <w:sz w:val="32"/>
          <w:szCs w:val="32"/>
        </w:rPr>
      </w:pPr>
      <w:r>
        <w:rPr>
          <w:rFonts w:hint="eastAsia" w:ascii="仿宋_GB2312" w:eastAsia="仿宋_GB2312" w:cs="仿宋_GB2312"/>
          <w:color w:val="000000"/>
          <w:sz w:val="32"/>
          <w:szCs w:val="32"/>
        </w:rPr>
        <w:t>202</w:t>
      </w:r>
      <w:r>
        <w:rPr>
          <w:rFonts w:hint="eastAsia" w:ascii="仿宋_GB2312" w:eastAsia="仿宋_GB2312" w:cs="仿宋_GB2312"/>
          <w:color w:val="000000"/>
          <w:sz w:val="32"/>
          <w:szCs w:val="32"/>
          <w:lang w:val="en-US" w:eastAsia="zh-CN"/>
        </w:rPr>
        <w:t>5</w:t>
      </w:r>
      <w:r>
        <w:rPr>
          <w:rFonts w:hint="eastAsia" w:ascii="仿宋_GB2312" w:eastAsia="仿宋_GB2312" w:cs="仿宋_GB2312"/>
          <w:color w:val="000000"/>
          <w:sz w:val="32"/>
          <w:szCs w:val="32"/>
        </w:rPr>
        <w:t>年</w:t>
      </w:r>
      <w:r>
        <w:rPr>
          <w:rFonts w:hint="eastAsia" w:ascii="仿宋_GB2312" w:eastAsia="仿宋_GB2312" w:cs="仿宋_GB2312"/>
          <w:color w:val="000000"/>
          <w:sz w:val="32"/>
          <w:szCs w:val="32"/>
          <w:lang w:val="en-US" w:eastAsia="zh-CN"/>
        </w:rPr>
        <w:t>7</w:t>
      </w:r>
      <w:r>
        <w:rPr>
          <w:rFonts w:hint="eastAsia" w:ascii="仿宋_GB2312" w:eastAsia="仿宋_GB2312" w:cs="仿宋_GB2312"/>
          <w:color w:val="000000"/>
          <w:sz w:val="32"/>
          <w:szCs w:val="32"/>
        </w:rPr>
        <w:t>月</w:t>
      </w:r>
      <w:r>
        <w:rPr>
          <w:rFonts w:hint="eastAsia" w:ascii="仿宋_GB2312" w:eastAsia="仿宋_GB2312" w:cs="仿宋_GB2312"/>
          <w:color w:val="000000"/>
          <w:sz w:val="32"/>
          <w:szCs w:val="32"/>
          <w:lang w:val="en-US" w:eastAsia="zh-CN"/>
        </w:rPr>
        <w:t>28</w:t>
      </w:r>
      <w:r>
        <w:rPr>
          <w:rFonts w:hint="eastAsia" w:ascii="仿宋_GB2312" w:eastAsia="仿宋_GB2312" w:cs="仿宋_GB2312"/>
          <w:color w:val="000000"/>
          <w:sz w:val="32"/>
          <w:szCs w:val="32"/>
        </w:rPr>
        <w:t>日</w:t>
      </w:r>
    </w:p>
    <w:p w14:paraId="39D18ECB">
      <w:pPr>
        <w:pStyle w:val="13"/>
        <w:keepNext w:val="0"/>
        <w:keepLines w:val="0"/>
        <w:pageBreakBefore w:val="0"/>
        <w:widowControl w:val="0"/>
        <w:suppressLineNumbers w:val="0"/>
        <w:kinsoku/>
        <w:wordWrap/>
        <w:overflowPunct/>
        <w:topLinePunct w:val="0"/>
        <w:autoSpaceDE/>
        <w:autoSpaceDN/>
        <w:bidi w:val="0"/>
        <w:adjustRightInd w:val="0"/>
        <w:snapToGrid/>
        <w:spacing w:before="318" w:beforeLines="50" w:line="540" w:lineRule="exact"/>
        <w:ind w:left="0" w:firstLine="641"/>
        <w:jc w:val="both"/>
        <w:textAlignment w:val="auto"/>
        <w:outlineLvl w:val="9"/>
        <w:rPr>
          <w:sz w:val="32"/>
          <w:szCs w:val="32"/>
        </w:rPr>
      </w:pPr>
      <w:r>
        <w:rPr>
          <w:rFonts w:ascii="仿宋_GB2312" w:eastAsia="仿宋_GB2312" w:cs="仿宋_GB2312"/>
          <w:color w:val="000000"/>
          <w:sz w:val="32"/>
          <w:szCs w:val="32"/>
        </w:rPr>
        <w:t>（此件公开发布）</w:t>
      </w:r>
    </w:p>
    <w:p w14:paraId="79D7197B">
      <w:pPr>
        <w:keepNext w:val="0"/>
        <w:keepLines w:val="0"/>
        <w:pageBreakBefore w:val="0"/>
        <w:widowControl w:val="0"/>
        <w:tabs>
          <w:tab w:val="left" w:pos="1540"/>
        </w:tabs>
        <w:kinsoku/>
        <w:wordWrap/>
        <w:overflowPunct/>
        <w:topLinePunct w:val="0"/>
        <w:autoSpaceDE/>
        <w:autoSpaceDN/>
        <w:bidi w:val="0"/>
        <w:adjustRightInd/>
        <w:snapToGrid/>
        <w:spacing w:line="660" w:lineRule="exact"/>
        <w:jc w:val="left"/>
        <w:textAlignment w:val="auto"/>
        <w:outlineLvl w:val="9"/>
        <w:rPr>
          <w:rFonts w:hint="eastAsia" w:ascii="仿宋_GB2312" w:hAnsi="宋体"/>
        </w:rPr>
      </w:pPr>
    </w:p>
    <w:p w14:paraId="1C7C1F06">
      <w:pPr>
        <w:keepNext w:val="0"/>
        <w:keepLines w:val="0"/>
        <w:pageBreakBefore w:val="0"/>
        <w:widowControl w:val="0"/>
        <w:tabs>
          <w:tab w:val="left" w:pos="1540"/>
        </w:tabs>
        <w:kinsoku/>
        <w:wordWrap/>
        <w:overflowPunct/>
        <w:topLinePunct w:val="0"/>
        <w:autoSpaceDE/>
        <w:autoSpaceDN/>
        <w:bidi w:val="0"/>
        <w:adjustRightInd/>
        <w:snapToGrid/>
        <w:spacing w:line="660" w:lineRule="exact"/>
        <w:jc w:val="left"/>
        <w:textAlignment w:val="auto"/>
        <w:outlineLvl w:val="9"/>
        <w:rPr>
          <w:rFonts w:hint="eastAsia" w:ascii="仿宋_GB2312" w:hAnsi="宋体" w:eastAsia="仿宋_GB2312"/>
          <w:lang w:eastAsia="zh-CN"/>
        </w:rPr>
      </w:pPr>
    </w:p>
    <w:p w14:paraId="6C703DE7">
      <w:pPr>
        <w:spacing w:line="520" w:lineRule="exact"/>
        <w:ind w:firstLine="268" w:firstLineChars="100"/>
        <w:jc w:val="left"/>
        <w:rPr>
          <w:rFonts w:hint="eastAsia" w:ascii="仿宋_GB2312"/>
          <w:sz w:val="28"/>
        </w:rPr>
      </w:pPr>
      <w:r>
        <w:rPr>
          <w:rFonts w:hint="eastAsia" w:ascii="仿宋_GB2312" w:hAnsi="宋体" w:eastAsia="仿宋_GB2312"/>
          <w:sz w:val="28"/>
          <w:szCs w:val="28"/>
          <w:lang w:eastAsia="zh-CN"/>
        </w:rPr>
        <w:drawing>
          <wp:anchor distT="0" distB="0" distL="114300" distR="114300" simplePos="0" relativeHeight="251662336" behindDoc="0" locked="0" layoutInCell="1" allowOverlap="1">
            <wp:simplePos x="0" y="0"/>
            <wp:positionH relativeFrom="column">
              <wp:posOffset>3333750</wp:posOffset>
            </wp:positionH>
            <wp:positionV relativeFrom="paragraph">
              <wp:posOffset>425450</wp:posOffset>
            </wp:positionV>
            <wp:extent cx="2114550" cy="514350"/>
            <wp:effectExtent l="0" t="0" r="0" b="0"/>
            <wp:wrapSquare wrapText="bothSides"/>
            <wp:docPr id="4" name="图片 22" descr="541990125000457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2" descr="541990125000457096"/>
                    <pic:cNvPicPr>
                      <a:picLocks noChangeAspect="1"/>
                    </pic:cNvPicPr>
                  </pic:nvPicPr>
                  <pic:blipFill>
                    <a:blip r:embed="rId7"/>
                    <a:stretch>
                      <a:fillRect/>
                    </a:stretch>
                  </pic:blipFill>
                  <pic:spPr>
                    <a:xfrm>
                      <a:off x="0" y="0"/>
                      <a:ext cx="2114550" cy="514350"/>
                    </a:xfrm>
                    <a:prstGeom prst="rect">
                      <a:avLst/>
                    </a:prstGeom>
                    <a:noFill/>
                    <a:ln>
                      <a:noFill/>
                    </a:ln>
                  </pic:spPr>
                </pic:pic>
              </a:graphicData>
            </a:graphic>
          </wp:anchor>
        </w:drawing>
      </w:r>
      <w:r>
        <w:rPr>
          <w:rFonts w:hint="eastAsia" w:ascii="仿宋_GB2312"/>
          <w:sz w:val="28"/>
          <w:szCs w:val="28"/>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19050</wp:posOffset>
                </wp:positionV>
                <wp:extent cx="5476240" cy="0"/>
                <wp:effectExtent l="0" t="4445" r="0" b="5080"/>
                <wp:wrapNone/>
                <wp:docPr id="2" name="直线 20"/>
                <wp:cNvGraphicFramePr/>
                <a:graphic xmlns:a="http://schemas.openxmlformats.org/drawingml/2006/main">
                  <a:graphicData uri="http://schemas.microsoft.com/office/word/2010/wordprocessingShape">
                    <wps:wsp>
                      <wps:cNvCnPr/>
                      <wps:spPr>
                        <a:xfrm>
                          <a:off x="0" y="0"/>
                          <a:ext cx="547624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20" o:spid="_x0000_s1026" o:spt="20" style="position:absolute;left:0pt;margin-left:0pt;margin-top:1.5pt;height:0pt;width:431.2pt;z-index:251660288;mso-width-relative:page;mso-height-relative:page;" filled="f" stroked="t" coordsize="21600,21600" o:gfxdata="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LZ31XNMAAAAE&#10;AQAADwAAAAAAAAABACAAAAAiAAAAZHJzL2Rvd25yZXYueG1sUEsBAhQAFAAAAAgAh07iQENA0hXo&#10;AQAA3AMAAA4AAAAAAAAAAQAgAAAAIgEAAGRycy9lMm9Eb2MueG1sUEsFBgAAAAAGAAYAWQEAAHwF&#10;AAAAAA==&#10;">
                <v:fill on="f" focussize="0,0"/>
                <v:stroke color="#000000" joinstyle="round"/>
                <v:imagedata o:title=""/>
                <o:lock v:ext="edit" aspectratio="f"/>
              </v:line>
            </w:pict>
          </mc:Fallback>
        </mc:AlternateContent>
      </w:r>
      <w:r>
        <w:rPr>
          <w:rFonts w:hint="eastAsia" w:ascii="仿宋_GB2312"/>
          <w:sz w:val="28"/>
          <w:szCs w:val="28"/>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352425</wp:posOffset>
                </wp:positionV>
                <wp:extent cx="5476240" cy="0"/>
                <wp:effectExtent l="0" t="4445" r="0" b="5080"/>
                <wp:wrapNone/>
                <wp:docPr id="3" name="直线 21"/>
                <wp:cNvGraphicFramePr/>
                <a:graphic xmlns:a="http://schemas.openxmlformats.org/drawingml/2006/main">
                  <a:graphicData uri="http://schemas.microsoft.com/office/word/2010/wordprocessingShape">
                    <wps:wsp>
                      <wps:cNvCnPr/>
                      <wps:spPr>
                        <a:xfrm>
                          <a:off x="0" y="0"/>
                          <a:ext cx="547624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21" o:spid="_x0000_s1026" o:spt="20" style="position:absolute;left:0pt;margin-left:0pt;margin-top:27.75pt;height:0pt;width:431.2pt;z-index:251661312;mso-width-relative:page;mso-height-relative:page;" filled="f" stroked="t" coordsize="21600,21600" o:gfxdata="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B9bobo1AAA&#10;AAYBAAAPAAAAAAAAAAEAIAAAACIAAABkcnMvZG93bnJldi54bWxQSwECFAAUAAAACACHTuJAOqrw&#10;xukBAADcAwAADgAAAAAAAAABACAAAAAjAQAAZHJzL2Uyb0RvYy54bWxQSwUGAAAAAAYABgBZAQAA&#10;fgUAAAAA&#10;">
                <v:fill on="f" focussize="0,0"/>
                <v:stroke color="#000000" joinstyle="round"/>
                <v:imagedata o:title=""/>
                <o:lock v:ext="edit" aspectratio="f"/>
              </v:line>
            </w:pict>
          </mc:Fallback>
        </mc:AlternateContent>
      </w:r>
      <w:r>
        <w:rPr>
          <w:rFonts w:hint="eastAsia" w:ascii="仿宋_GB2312"/>
          <w:sz w:val="28"/>
          <w:szCs w:val="28"/>
        </w:rPr>
        <w:t>广</w:t>
      </w:r>
      <w:r>
        <w:rPr>
          <w:rFonts w:hint="eastAsia" w:ascii="仿宋_GB2312"/>
          <w:sz w:val="28"/>
        </w:rPr>
        <w:t xml:space="preserve">西壮族自治区发展和改革委员会办公室  </w:t>
      </w:r>
      <w:r>
        <w:rPr>
          <w:rFonts w:hint="eastAsia" w:ascii="仿宋_GB2312"/>
          <w:sz w:val="28"/>
          <w:lang w:val="en-US" w:eastAsia="zh-CN"/>
        </w:rPr>
        <w:t xml:space="preserve"> </w:t>
      </w:r>
      <w:r>
        <w:rPr>
          <w:rFonts w:hint="eastAsia" w:ascii="仿宋_GB2312"/>
          <w:sz w:val="28"/>
        </w:rPr>
        <w:t xml:space="preserve">  20</w:t>
      </w:r>
      <w:r>
        <w:rPr>
          <w:rFonts w:hint="eastAsia" w:ascii="仿宋_GB2312"/>
          <w:sz w:val="28"/>
          <w:lang w:val="en-US" w:eastAsia="zh-CN"/>
        </w:rPr>
        <w:t>25</w:t>
      </w:r>
      <w:r>
        <w:rPr>
          <w:rFonts w:hint="eastAsia" w:ascii="仿宋_GB2312"/>
          <w:sz w:val="28"/>
        </w:rPr>
        <w:t>年</w:t>
      </w:r>
      <w:r>
        <w:rPr>
          <w:rFonts w:hint="eastAsia" w:ascii="仿宋_GB2312"/>
          <w:sz w:val="28"/>
          <w:lang w:val="en-US" w:eastAsia="zh-CN"/>
        </w:rPr>
        <w:t>7</w:t>
      </w:r>
      <w:r>
        <w:rPr>
          <w:rFonts w:hint="eastAsia" w:ascii="仿宋_GB2312"/>
          <w:sz w:val="28"/>
        </w:rPr>
        <w:t>月</w:t>
      </w:r>
      <w:r>
        <w:rPr>
          <w:rFonts w:hint="eastAsia" w:ascii="仿宋_GB2312"/>
          <w:sz w:val="28"/>
          <w:lang w:val="en-US" w:eastAsia="zh-CN"/>
        </w:rPr>
        <w:t>28</w:t>
      </w:r>
      <w:r>
        <w:rPr>
          <w:rFonts w:hint="eastAsia" w:ascii="仿宋_GB2312"/>
          <w:sz w:val="28"/>
        </w:rPr>
        <w:t>日印发</w:t>
      </w:r>
    </w:p>
    <w:sectPr>
      <w:headerReference r:id="rId3" w:type="default"/>
      <w:footerReference r:id="rId4" w:type="default"/>
      <w:footerReference r:id="rId5" w:type="even"/>
      <w:pgSz w:w="11906" w:h="16838"/>
      <w:pgMar w:top="1418" w:right="1588" w:bottom="1701" w:left="1701" w:header="851" w:footer="964" w:gutter="0"/>
      <w:pgNumType w:fmt="numberInDash"/>
      <w:cols w:space="720" w:num="1"/>
      <w:titlePg/>
      <w:docGrid w:type="linesAndChars" w:linePitch="636" w:charSpace="-25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华文行楷">
    <w:panose1 w:val="02010800040101010101"/>
    <w:charset w:val="86"/>
    <w:family w:val="auto"/>
    <w:pitch w:val="default"/>
    <w:sig w:usb0="00000001" w:usb1="080F0000" w:usb2="00000000" w:usb3="00000000" w:csb0="00040000" w:csb1="00000000"/>
  </w:font>
  <w:font w:name="Verdana">
    <w:panose1 w:val="020B0604030504040204"/>
    <w:charset w:val="00"/>
    <w:family w:val="swiss"/>
    <w:pitch w:val="default"/>
    <w:sig w:usb0="A00006FF" w:usb1="4000205B" w:usb2="00000010" w:usb3="00000000" w:csb0="2000019F" w:csb1="00000000"/>
  </w:font>
  <w:font w:name="方正小标宋_GBK">
    <w:altName w:val="Arial Unicode MS"/>
    <w:panose1 w:val="02000000000000000000"/>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华文中宋">
    <w:panose1 w:val="02010600040101010101"/>
    <w:charset w:val="86"/>
    <w:family w:val="auto"/>
    <w:pitch w:val="default"/>
    <w:sig w:usb0="00000287" w:usb1="080F0000" w:usb2="00000000" w:usb3="00000000" w:csb0="0004009F" w:csb1="DFD70000"/>
  </w:font>
  <w:font w:name="宋体-18030">
    <w:altName w:val="宋体"/>
    <w:panose1 w:val="00000000000000000000"/>
    <w:charset w:val="00"/>
    <w:family w:val="modern"/>
    <w:pitch w:val="default"/>
    <w:sig w:usb0="00000000" w:usb1="00000000" w:usb2="0000005E" w:usb3="00000000" w:csb0="00040001" w:csb1="00000000"/>
  </w:font>
  <w:font w:name="方正小标宋简体">
    <w:panose1 w:val="02000000000000000000"/>
    <w:charset w:val="86"/>
    <w:family w:val="auto"/>
    <w:pitch w:val="default"/>
    <w:sig w:usb0="00000001" w:usb1="08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52CE1C">
    <w:pPr>
      <w:pStyle w:val="10"/>
      <w:wordWrap w:val="0"/>
      <w:jc w:val="right"/>
      <w:rPr>
        <w:rFonts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 PAGE   \* MERGEFORMAT </w:instrText>
    </w:r>
    <w:r>
      <w:rPr>
        <w:rFonts w:ascii="宋体" w:hAnsi="宋体" w:eastAsia="宋体"/>
        <w:sz w:val="28"/>
        <w:szCs w:val="28"/>
      </w:rPr>
      <w:fldChar w:fldCharType="separate"/>
    </w:r>
    <w:r>
      <w:rPr>
        <w:rFonts w:ascii="宋体" w:hAnsi="宋体" w:eastAsia="宋体"/>
        <w:sz w:val="28"/>
        <w:szCs w:val="28"/>
        <w:lang w:val="zh-CN"/>
      </w:rPr>
      <w:t>-</w:t>
    </w:r>
    <w:r>
      <w:rPr>
        <w:rFonts w:ascii="宋体" w:hAnsi="宋体" w:eastAsia="宋体"/>
        <w:sz w:val="28"/>
        <w:szCs w:val="28"/>
      </w:rPr>
      <w:t xml:space="preserve"> 1 -</w:t>
    </w:r>
    <w:r>
      <w:rPr>
        <w:rFonts w:ascii="宋体" w:hAnsi="宋体" w:eastAsia="宋体"/>
        <w:sz w:val="28"/>
        <w:szCs w:val="28"/>
      </w:rPr>
      <w:fldChar w:fldCharType="end"/>
    </w:r>
  </w:p>
  <w:p w14:paraId="7098DE88">
    <w:pPr>
      <w:pStyle w:val="1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629A60">
    <w:pPr>
      <w:pStyle w:val="10"/>
      <w:framePr w:w="1261" w:wrap="around" w:vAnchor="text" w:hAnchor="page" w:x="1696" w:y="-201"/>
      <w:ind w:firstLine="280" w:firstLineChars="100"/>
      <w:rPr>
        <w:rStyle w:val="18"/>
        <w:rFonts w:ascii="宋体" w:hAnsi="宋体" w:eastAsia="宋体"/>
        <w:sz w:val="28"/>
        <w:szCs w:val="28"/>
      </w:rPr>
    </w:pPr>
    <w:r>
      <w:rPr>
        <w:rFonts w:ascii="宋体" w:hAnsi="宋体" w:eastAsia="宋体"/>
        <w:sz w:val="28"/>
        <w:szCs w:val="28"/>
      </w:rPr>
      <w:fldChar w:fldCharType="begin"/>
    </w:r>
    <w:r>
      <w:rPr>
        <w:rStyle w:val="18"/>
        <w:rFonts w:ascii="宋体" w:hAnsi="宋体" w:eastAsia="宋体"/>
        <w:sz w:val="28"/>
        <w:szCs w:val="28"/>
      </w:rPr>
      <w:instrText xml:space="preserve">PAGE  </w:instrText>
    </w:r>
    <w:r>
      <w:rPr>
        <w:rFonts w:ascii="宋体" w:hAnsi="宋体" w:eastAsia="宋体"/>
        <w:sz w:val="28"/>
        <w:szCs w:val="28"/>
      </w:rPr>
      <w:fldChar w:fldCharType="separate"/>
    </w:r>
    <w:r>
      <w:rPr>
        <w:rStyle w:val="18"/>
        <w:rFonts w:ascii="宋体" w:hAnsi="宋体" w:eastAsia="宋体"/>
        <w:sz w:val="28"/>
        <w:szCs w:val="28"/>
      </w:rPr>
      <w:t>- 2 -</w:t>
    </w:r>
    <w:r>
      <w:rPr>
        <w:rFonts w:ascii="宋体" w:hAnsi="宋体" w:eastAsia="宋体"/>
        <w:sz w:val="28"/>
        <w:szCs w:val="28"/>
      </w:rPr>
      <w:fldChar w:fldCharType="end"/>
    </w:r>
  </w:p>
  <w:p w14:paraId="76687C73">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7100A3">
    <w:r>
      <mc:AlternateContent>
        <mc:Choice Requires="wps">
          <w:drawing>
            <wp:anchor distT="0" distB="0" distL="114300" distR="114300" simplePos="0" relativeHeight="251659264" behindDoc="0" locked="0" layoutInCell="1" allowOverlap="1">
              <wp:simplePos x="0" y="0"/>
              <wp:positionH relativeFrom="page">
                <wp:posOffset>0</wp:posOffset>
              </wp:positionH>
              <wp:positionV relativeFrom="page">
                <wp:posOffset>0</wp:posOffset>
              </wp:positionV>
              <wp:extent cx="635" cy="0"/>
              <wp:effectExtent l="0" t="0" r="0" b="0"/>
              <wp:wrapNone/>
              <wp:docPr id="5" name="ImpTraceLabel"/>
              <wp:cNvGraphicFramePr/>
              <a:graphic xmlns:a="http://schemas.openxmlformats.org/drawingml/2006/main">
                <a:graphicData uri="http://schemas.microsoft.com/office/word/2010/wordprocessingShape">
                  <wps:wsp>
                    <wps:cNvSpPr txBox="1"/>
                    <wps:spPr>
                      <a:xfrm>
                        <a:off x="0" y="0"/>
                        <a:ext cx="635" cy="0"/>
                      </a:xfrm>
                      <a:prstGeom prst="rect">
                        <a:avLst/>
                      </a:prstGeom>
                      <a:noFill/>
                    </wps:spPr>
                    <wps:txbx>
                      <w:txbxContent>
                        <w:p w14:paraId="19DF95FD">
                          <w:r>
                            <w:t>ImpTraceLabel=PD94bWwgdmVyc2lvbj0nMS4wJyBlbmNvZGluZz0nVVRGLTgnPz48dHJhY2U+PGNvbnRlbnQ+PC9jb250ZW50PjxhY2NvdW50PndvbjJqNTV6NWFtNW1lenpteGx3ZHk8L2FjY291bnQ+PG1hY2hpbmVDb2RlPlc5QU1WOUdRCjwvbWFjaGluZUNvZGU+PHRpbWU+MjAyNS0wNy0zMCAxNTowMDo0NTwvdGltZT48c3lzdGVtPk1CPHN5c3RlbT48L3RyYWNlPg==</w:t>
                          </w:r>
                        </w:p>
                      </w:txbxContent>
                    </wps:txbx>
                    <wps:bodyPr wrap="square" upright="1"/>
                  </wps:wsp>
                </a:graphicData>
              </a:graphic>
            </wp:anchor>
          </w:drawing>
        </mc:Choice>
        <mc:Fallback>
          <w:pict>
            <v:shape id="ImpTraceLabel" o:spid="_x0000_s1026" o:spt="202" type="#_x0000_t202" style="position:absolute;left:0pt;margin-left:0pt;margin-top:0pt;height:0pt;width:0.05pt;mso-position-horizontal-relative:page;mso-position-vertical-relative:page;z-index:251659264;mso-width-relative:page;mso-height-relative:page;" filled="f" stroked="f" coordsize="21600,21600" o:gfxdata="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">
              <v:fill on="f" focussize="0,0"/>
              <v:stroke on="f"/>
              <v:imagedata o:title=""/>
              <o:lock v:ext="edit" aspectratio="f"/>
              <v:textbox>
                <w:txbxContent>
                  <w:p w14:paraId="19DF95FD">
                    <w:r>
                      <w:t>ImpTraceLabel=PD94bWwgdmVyc2lvbj0nMS4wJyBlbmNvZGluZz0nVVRGLTgnPz48dHJhY2U+PGNvbnRlbnQ+PC9jb250ZW50PjxhY2NvdW50PndvbjJqNTV6NWFtNW1lenpteGx3ZHk8L2FjY291bnQ+PG1hY2hpbmVDb2RlPlc5QU1WOUdRCjwvbWFjaGluZUNvZGU+PHRpbWU+MjAyNS0wNy0zMCAxNTowMDo0NTwvdGltZT48c3lzdGVtPk1CPHN5c3RlbT48L3RyYWNlPg==</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hyphenationZone w:val="360"/>
  <w:evenAndOddHeaders w:val="1"/>
  <w:drawingGridHorizontalSpacing w:val="154"/>
  <w:drawingGridVerticalSpacing w:val="318"/>
  <w:displayHorizontalDrawingGridEvery w:val="0"/>
  <w:displayVerticalDrawingGridEvery w:val="2"/>
  <w:characterSpacingControl w:val="compressPunctuation"/>
  <w:noLineBreaksAfter w:lang="zh-CN" w:val="([{·‘“〈《「『【〔〖（．［｛￡￥"/>
  <w:noLineBreaksBefore w:lang="zh-CN" w:val="!),.:;?]}¨·ˇˉ―‖’”…∶、。〃々〉》」』】〕〗！＂＇），．：；？］｀｜｝～￠"/>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527A"/>
    <w:rsid w:val="1D817C8C"/>
    <w:rsid w:val="381C47B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_GB2312" w:cs="Times New Roman"/>
      <w:kern w:val="2"/>
      <w:sz w:val="32"/>
      <w:szCs w:val="32"/>
      <w:lang w:val="en-US" w:eastAsia="zh-CN" w:bidi="ar-SA"/>
    </w:rPr>
  </w:style>
  <w:style w:type="paragraph" w:styleId="2">
    <w:name w:val="heading 2"/>
    <w:basedOn w:val="1"/>
    <w:next w:val="1"/>
    <w:link w:val="23"/>
    <w:unhideWhenUsed/>
    <w:qFormat/>
    <w:uiPriority w:val="9"/>
    <w:pPr>
      <w:keepNext/>
      <w:keepLines/>
      <w:spacing w:before="260" w:after="260" w:line="416" w:lineRule="auto"/>
      <w:outlineLvl w:val="1"/>
    </w:pPr>
    <w:rPr>
      <w:rFonts w:ascii="Cambria" w:hAnsi="Cambria" w:eastAsia="宋体"/>
      <w:b/>
      <w:bCs/>
    </w:rPr>
  </w:style>
  <w:style w:type="character" w:default="1" w:styleId="17">
    <w:name w:val="Default Paragraph Font"/>
    <w:semiHidden/>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3">
    <w:name w:val="Body Text"/>
    <w:basedOn w:val="1"/>
    <w:link w:val="28"/>
    <w:qFormat/>
    <w:uiPriority w:val="0"/>
    <w:pPr>
      <w:spacing w:line="480" w:lineRule="atLeast"/>
      <w:jc w:val="center"/>
    </w:pPr>
    <w:rPr>
      <w:rFonts w:ascii="华文行楷" w:eastAsia="华文行楷"/>
      <w:b/>
      <w:sz w:val="48"/>
      <w:szCs w:val="24"/>
    </w:rPr>
  </w:style>
  <w:style w:type="paragraph" w:styleId="4">
    <w:name w:val="Body Text Indent"/>
    <w:basedOn w:val="1"/>
    <w:link w:val="20"/>
    <w:qFormat/>
    <w:uiPriority w:val="0"/>
    <w:pPr>
      <w:spacing w:after="120"/>
      <w:ind w:left="420" w:leftChars="200"/>
    </w:pPr>
  </w:style>
  <w:style w:type="paragraph" w:styleId="5">
    <w:name w:val="Plain Text"/>
    <w:basedOn w:val="1"/>
    <w:link w:val="25"/>
    <w:qFormat/>
    <w:uiPriority w:val="0"/>
    <w:rPr>
      <w:rFonts w:ascii="宋体" w:hAnsi="Courier New" w:eastAsia="宋体" w:cs="Courier New"/>
      <w:sz w:val="21"/>
      <w:szCs w:val="21"/>
    </w:rPr>
  </w:style>
  <w:style w:type="paragraph" w:styleId="6">
    <w:name w:val="Date"/>
    <w:basedOn w:val="1"/>
    <w:next w:val="1"/>
    <w:link w:val="22"/>
    <w:qFormat/>
    <w:uiPriority w:val="0"/>
    <w:pPr>
      <w:ind w:left="100" w:leftChars="2500"/>
    </w:pPr>
  </w:style>
  <w:style w:type="paragraph" w:styleId="7">
    <w:name w:val="Body Text Indent 2"/>
    <w:next w:val="8"/>
    <w:link w:val="24"/>
    <w:qFormat/>
    <w:uiPriority w:val="0"/>
    <w:pPr>
      <w:widowControl w:val="0"/>
      <w:spacing w:after="120" w:line="480" w:lineRule="auto"/>
      <w:ind w:left="420" w:leftChars="200"/>
      <w:jc w:val="both"/>
    </w:pPr>
    <w:rPr>
      <w:rFonts w:ascii="Calibri" w:hAnsi="Calibri" w:eastAsia="仿宋_GB2312" w:cs="Times New Roman"/>
      <w:kern w:val="2"/>
      <w:sz w:val="32"/>
      <w:szCs w:val="32"/>
      <w:lang w:val="en-US" w:eastAsia="zh-CN" w:bidi="ar-SA"/>
    </w:rPr>
  </w:style>
  <w:style w:type="paragraph" w:customStyle="1" w:styleId="8">
    <w:name w:val=" Char Char Char Char"/>
    <w:basedOn w:val="1"/>
    <w:next w:val="6"/>
    <w:qFormat/>
    <w:uiPriority w:val="0"/>
    <w:pPr>
      <w:spacing w:line="360" w:lineRule="auto"/>
      <w:ind w:left="178" w:leftChars="85" w:firstLine="658" w:firstLineChars="235"/>
    </w:pPr>
    <w:rPr>
      <w:rFonts w:eastAsia="宋体"/>
      <w:sz w:val="24"/>
      <w:szCs w:val="24"/>
    </w:rPr>
  </w:style>
  <w:style w:type="paragraph" w:styleId="9">
    <w:name w:val="Balloon Text"/>
    <w:basedOn w:val="1"/>
    <w:link w:val="21"/>
    <w:qFormat/>
    <w:uiPriority w:val="0"/>
    <w:rPr>
      <w:sz w:val="18"/>
      <w:szCs w:val="18"/>
    </w:rPr>
  </w:style>
  <w:style w:type="paragraph" w:styleId="10">
    <w:name w:val="footer"/>
    <w:basedOn w:val="1"/>
    <w:link w:val="27"/>
    <w:qFormat/>
    <w:uiPriority w:val="99"/>
    <w:pPr>
      <w:tabs>
        <w:tab w:val="center" w:pos="4153"/>
        <w:tab w:val="right" w:pos="8306"/>
      </w:tabs>
      <w:snapToGrid w:val="0"/>
      <w:jc w:val="left"/>
    </w:pPr>
    <w:rPr>
      <w:sz w:val="18"/>
      <w:szCs w:val="18"/>
    </w:rPr>
  </w:style>
  <w:style w:type="paragraph" w:styleId="1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2">
    <w:name w:val="Body Text Indent 3"/>
    <w:basedOn w:val="1"/>
    <w:link w:val="26"/>
    <w:qFormat/>
    <w:uiPriority w:val="0"/>
    <w:pPr>
      <w:spacing w:after="120"/>
      <w:ind w:left="420" w:leftChars="200"/>
    </w:pPr>
    <w:rPr>
      <w:sz w:val="16"/>
      <w:szCs w:val="16"/>
    </w:rPr>
  </w:style>
  <w:style w:type="paragraph" w:styleId="13">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4">
    <w:name w:val="Normal (Web)"/>
    <w:basedOn w:val="1"/>
    <w:qFormat/>
    <w:uiPriority w:val="0"/>
    <w:pPr>
      <w:widowControl/>
      <w:spacing w:before="100" w:beforeAutospacing="1" w:after="119"/>
      <w:jc w:val="left"/>
    </w:pPr>
    <w:rPr>
      <w:rFonts w:ascii="宋体" w:hAnsi="宋体" w:eastAsia="宋体" w:cs="宋体"/>
      <w:kern w:val="0"/>
      <w:sz w:val="24"/>
      <w:szCs w:val="24"/>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page number"/>
    <w:basedOn w:val="17"/>
    <w:qFormat/>
    <w:uiPriority w:val="0"/>
  </w:style>
  <w:style w:type="character" w:styleId="19">
    <w:name w:val="Hyperlink"/>
    <w:basedOn w:val="17"/>
    <w:qFormat/>
    <w:uiPriority w:val="0"/>
    <w:rPr>
      <w:color w:val="0000FF"/>
      <w:u w:val="single"/>
    </w:rPr>
  </w:style>
  <w:style w:type="character" w:customStyle="1" w:styleId="20">
    <w:name w:val="正文文本缩进 Char"/>
    <w:basedOn w:val="17"/>
    <w:link w:val="4"/>
    <w:qFormat/>
    <w:uiPriority w:val="0"/>
    <w:rPr>
      <w:rFonts w:eastAsia="仿宋_GB2312"/>
      <w:kern w:val="2"/>
      <w:sz w:val="32"/>
      <w:szCs w:val="32"/>
    </w:rPr>
  </w:style>
  <w:style w:type="character" w:customStyle="1" w:styleId="21">
    <w:name w:val="批注框文本 Char"/>
    <w:basedOn w:val="17"/>
    <w:link w:val="9"/>
    <w:qFormat/>
    <w:uiPriority w:val="0"/>
    <w:rPr>
      <w:rFonts w:eastAsia="仿宋_GB2312"/>
      <w:kern w:val="2"/>
      <w:sz w:val="18"/>
      <w:szCs w:val="18"/>
    </w:rPr>
  </w:style>
  <w:style w:type="character" w:customStyle="1" w:styleId="22">
    <w:name w:val="日期 Char"/>
    <w:basedOn w:val="17"/>
    <w:link w:val="6"/>
    <w:qFormat/>
    <w:uiPriority w:val="0"/>
    <w:rPr>
      <w:rFonts w:eastAsia="仿宋_GB2312"/>
      <w:kern w:val="2"/>
      <w:sz w:val="32"/>
      <w:szCs w:val="32"/>
    </w:rPr>
  </w:style>
  <w:style w:type="character" w:customStyle="1" w:styleId="23">
    <w:name w:val="标题 2 Char"/>
    <w:basedOn w:val="17"/>
    <w:link w:val="2"/>
    <w:qFormat/>
    <w:uiPriority w:val="9"/>
    <w:rPr>
      <w:rFonts w:ascii="Cambria" w:hAnsi="Cambria"/>
      <w:b/>
      <w:bCs/>
      <w:kern w:val="2"/>
      <w:sz w:val="32"/>
      <w:szCs w:val="32"/>
    </w:rPr>
  </w:style>
  <w:style w:type="character" w:customStyle="1" w:styleId="24">
    <w:name w:val="正文文本缩进 2 Char"/>
    <w:basedOn w:val="17"/>
    <w:link w:val="7"/>
    <w:qFormat/>
    <w:uiPriority w:val="0"/>
    <w:rPr>
      <w:rFonts w:eastAsia="仿宋_GB2312"/>
      <w:kern w:val="2"/>
      <w:sz w:val="32"/>
      <w:szCs w:val="32"/>
    </w:rPr>
  </w:style>
  <w:style w:type="character" w:customStyle="1" w:styleId="25">
    <w:name w:val="纯文本 Char"/>
    <w:basedOn w:val="17"/>
    <w:link w:val="5"/>
    <w:qFormat/>
    <w:uiPriority w:val="0"/>
    <w:rPr>
      <w:rFonts w:ascii="宋体" w:hAnsi="Courier New" w:cs="Courier New"/>
      <w:kern w:val="2"/>
      <w:sz w:val="21"/>
      <w:szCs w:val="21"/>
    </w:rPr>
  </w:style>
  <w:style w:type="character" w:customStyle="1" w:styleId="26">
    <w:name w:val="正文文本缩进 3 Char"/>
    <w:basedOn w:val="17"/>
    <w:link w:val="12"/>
    <w:qFormat/>
    <w:uiPriority w:val="0"/>
    <w:rPr>
      <w:rFonts w:eastAsia="仿宋_GB2312"/>
      <w:kern w:val="2"/>
      <w:sz w:val="16"/>
      <w:szCs w:val="16"/>
    </w:rPr>
  </w:style>
  <w:style w:type="character" w:customStyle="1" w:styleId="27">
    <w:name w:val="页脚 Char"/>
    <w:basedOn w:val="17"/>
    <w:link w:val="10"/>
    <w:qFormat/>
    <w:uiPriority w:val="99"/>
    <w:rPr>
      <w:rFonts w:eastAsia="仿宋_GB2312"/>
      <w:kern w:val="2"/>
      <w:sz w:val="18"/>
      <w:szCs w:val="18"/>
    </w:rPr>
  </w:style>
  <w:style w:type="character" w:customStyle="1" w:styleId="28">
    <w:name w:val="正文文本 Char"/>
    <w:basedOn w:val="17"/>
    <w:link w:val="3"/>
    <w:qFormat/>
    <w:uiPriority w:val="0"/>
    <w:rPr>
      <w:rFonts w:ascii="华文行楷" w:eastAsia="华文行楷"/>
      <w:b/>
      <w:kern w:val="2"/>
      <w:sz w:val="48"/>
      <w:szCs w:val="24"/>
    </w:rPr>
  </w:style>
  <w:style w:type="paragraph" w:customStyle="1" w:styleId="29">
    <w:name w:val="Char Char1 Char Char Char Char Char Char"/>
    <w:basedOn w:val="1"/>
    <w:qFormat/>
    <w:uiPriority w:val="0"/>
    <w:pPr>
      <w:widowControl/>
      <w:spacing w:after="160" w:line="240" w:lineRule="exact"/>
      <w:jc w:val="left"/>
    </w:pPr>
    <w:rPr>
      <w:rFonts w:ascii="Verdana" w:hAnsi="Verdana"/>
      <w:kern w:val="0"/>
      <w:sz w:val="24"/>
      <w:szCs w:val="20"/>
      <w:lang w:eastAsia="en-US"/>
    </w:rPr>
  </w:style>
  <w:style w:type="paragraph" w:customStyle="1" w:styleId="30">
    <w:name w:val=" Char Char1 Char Char Char Char"/>
    <w:basedOn w:val="1"/>
    <w:qFormat/>
    <w:uiPriority w:val="0"/>
    <w:pPr>
      <w:widowControl/>
      <w:spacing w:after="160" w:line="240" w:lineRule="exact"/>
      <w:jc w:val="left"/>
    </w:pPr>
    <w:rPr>
      <w:rFonts w:ascii="Verdana" w:hAnsi="Verdana" w:eastAsia="宋体"/>
      <w:kern w:val="0"/>
      <w:sz w:val="20"/>
      <w:szCs w:val="20"/>
      <w:lang w:eastAsia="en-US"/>
    </w:rPr>
  </w:style>
  <w:style w:type="paragraph" w:customStyle="1" w:styleId="31">
    <w:name w:val="Char"/>
    <w:basedOn w:val="1"/>
    <w:qFormat/>
    <w:uiPriority w:val="0"/>
    <w:rPr>
      <w:rFonts w:eastAsia="宋体"/>
      <w:sz w:val="21"/>
      <w:szCs w:val="24"/>
    </w:rPr>
  </w:style>
  <w:style w:type="paragraph" w:customStyle="1" w:styleId="32">
    <w:name w:val="默认段落字体 Para Char Char Char Char"/>
    <w:basedOn w:val="1"/>
    <w:qFormat/>
    <w:uiPriority w:val="0"/>
    <w:pPr>
      <w:snapToGrid w:val="0"/>
      <w:spacing w:afterLines="50" w:line="360" w:lineRule="auto"/>
      <w:ind w:firstLine="480" w:firstLineChars="200"/>
    </w:pPr>
    <w:rPr>
      <w:rFonts w:ascii="Arial" w:hAnsi="Arial" w:eastAsia="宋体"/>
      <w:sz w:val="24"/>
      <w:szCs w:val="21"/>
    </w:rPr>
  </w:style>
  <w:style w:type="paragraph" w:customStyle="1" w:styleId="33">
    <w:name w:val="默认段落字体 Para Char Char Char Char Char Char Char Char Char1 Char Char Char Char Char Char Char"/>
    <w:basedOn w:val="1"/>
    <w:qFormat/>
    <w:uiPriority w:val="0"/>
    <w:rPr>
      <w:rFonts w:eastAsia="宋体"/>
      <w:b/>
      <w:bCs/>
      <w:sz w:val="36"/>
    </w:rPr>
  </w:style>
  <w:style w:type="paragraph" w:customStyle="1" w:styleId="34">
    <w:name w:val="p16"/>
    <w:basedOn w:val="1"/>
    <w:qFormat/>
    <w:uiPriority w:val="0"/>
    <w:pPr>
      <w:widowControl/>
      <w:spacing w:before="100" w:after="100"/>
      <w:jc w:val="left"/>
    </w:pPr>
    <w:rPr>
      <w:rFonts w:ascii="宋体" w:hAnsi="宋体" w:eastAsia="宋体" w:cs="宋体"/>
      <w:kern w:val="0"/>
      <w:sz w:val="24"/>
      <w:szCs w:val="24"/>
    </w:rPr>
  </w:style>
  <w:style w:type="paragraph" w:customStyle="1" w:styleId="35">
    <w:name w:val=" Char2 Char Char Char1 Char Char Char Char Char Char Char Char Char1 Char Char Char Char Char Char Char Char Char Char Char Char Char Char Char Char Char Char Char Char Char Char Char Char Char Char Char"/>
    <w:basedOn w:val="1"/>
    <w:qFormat/>
    <w:uiPriority w:val="0"/>
    <w:rPr>
      <w:rFonts w:eastAsia="宋体"/>
      <w:sz w:val="21"/>
      <w:szCs w:val="24"/>
    </w:rPr>
  </w:style>
  <w:style w:type="paragraph" w:customStyle="1" w:styleId="36">
    <w:name w:val=" Char Char1 Char"/>
    <w:basedOn w:val="1"/>
    <w:qFormat/>
    <w:uiPriority w:val="0"/>
    <w:pPr>
      <w:widowControl/>
      <w:spacing w:after="160" w:line="240" w:lineRule="exact"/>
      <w:jc w:val="left"/>
    </w:pPr>
    <w:rPr>
      <w:rFonts w:ascii="Verdana" w:hAnsi="Verdana"/>
      <w:kern w:val="0"/>
      <w:sz w:val="24"/>
      <w:szCs w:val="20"/>
      <w:lang w:eastAsia="en-US"/>
    </w:rPr>
  </w:style>
  <w:style w:type="paragraph" w:customStyle="1" w:styleId="37">
    <w:name w:val="p0"/>
    <w:basedOn w:val="1"/>
    <w:qFormat/>
    <w:uiPriority w:val="0"/>
    <w:pPr>
      <w:widowControl/>
    </w:pPr>
    <w:rPr>
      <w:rFonts w:eastAsia="宋体"/>
      <w:kern w:val="0"/>
    </w:rPr>
  </w:style>
  <w:style w:type="paragraph" w:customStyle="1" w:styleId="38">
    <w:name w:val="Char Char Char Char Char Char Char"/>
    <w:basedOn w:val="1"/>
    <w:qFormat/>
    <w:uiPriority w:val="0"/>
    <w:pPr>
      <w:tabs>
        <w:tab w:val="left" w:pos="425"/>
      </w:tabs>
      <w:ind w:left="425" w:hanging="425"/>
    </w:pPr>
    <w:rPr>
      <w:rFonts w:ascii="宋体" w:hAnsi="宋体" w:eastAsia="宋体"/>
      <w:color w:val="000000"/>
      <w:sz w:val="24"/>
      <w:szCs w:val="24"/>
    </w:rPr>
  </w:style>
  <w:style w:type="paragraph" w:customStyle="1" w:styleId="39">
    <w:name w:val=" Char"/>
    <w:basedOn w:val="1"/>
    <w:qFormat/>
    <w:uiPriority w:val="0"/>
    <w:pPr>
      <w:spacing w:line="360" w:lineRule="auto"/>
      <w:ind w:firstLine="200" w:firstLineChars="200"/>
    </w:pPr>
    <w:rPr>
      <w:rFonts w:ascii="宋体" w:hAnsi="宋体" w:eastAsia="宋体" w:cs="宋体"/>
      <w:sz w:val="24"/>
      <w:szCs w:val="24"/>
    </w:rPr>
  </w:style>
  <w:style w:type="paragraph" w:customStyle="1" w:styleId="40">
    <w:name w:val="四级标题1.1.1.1"/>
    <w:basedOn w:val="1"/>
    <w:next w:val="1"/>
    <w:qFormat/>
    <w:uiPriority w:val="0"/>
    <w:pPr>
      <w:keepNext/>
      <w:keepLines/>
      <w:widowControl/>
      <w:adjustRightInd w:val="0"/>
      <w:spacing w:before="40" w:after="40" w:line="360" w:lineRule="auto"/>
      <w:ind w:firstLine="200" w:firstLineChars="200"/>
      <w:outlineLvl w:val="3"/>
    </w:pPr>
    <w:rPr>
      <w:rFonts w:cs="宋体"/>
      <w:b/>
      <w:kern w:val="0"/>
      <w:sz w:val="24"/>
      <w:szCs w:val="28"/>
    </w:rPr>
  </w:style>
  <w:style w:type="paragraph" w:customStyle="1" w:styleId="41">
    <w:name w:val="Char1 Char Char Char Char Char Char"/>
    <w:basedOn w:val="1"/>
    <w:qFormat/>
    <w:uiPriority w:val="0"/>
    <w:rPr>
      <w:rFonts w:eastAsia="宋体"/>
      <w:sz w:val="21"/>
      <w:szCs w:val="20"/>
    </w:rPr>
  </w:style>
  <w:style w:type="paragraph" w:customStyle="1" w:styleId="42">
    <w:name w:val=" Char Char"/>
    <w:basedOn w:val="1"/>
    <w:qFormat/>
    <w:uiPriority w:val="0"/>
    <w:rPr>
      <w:rFonts w:eastAsia="宋体"/>
      <w:sz w:val="21"/>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m\Application%20Data\Microsoft\Templates\&#19979;&#21457;&#25991;.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gxjmw</Company>
  <Pages>8</Pages>
  <Words>289</Words>
  <Characters>303</Characters>
  <Lines>1</Lines>
  <Paragraphs>1</Paragraphs>
  <TotalTime>19</TotalTime>
  <ScaleCrop>false</ScaleCrop>
  <LinksUpToDate>false</LinksUpToDate>
  <CharactersWithSpaces>303</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2016-03-22T17:37:00Z</dcterms:created>
  <dc:creator>OA系统管理员</dc:creator>
  <cp:lastModifiedBy>lenovo</cp:lastModifiedBy>
  <cp:lastPrinted>2013-04-11T18:02:00Z</cp:lastPrinted>
  <dcterms:modified xsi:type="dcterms:W3CDTF">2025-08-01T11:17:18Z</dcterms:modified>
  <dc:title>广西壮族自治区</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63363D5CACEB4F8C9E30AD7654402CB2_13</vt:lpwstr>
  </property>
  <property fmtid="{D5CDD505-2E9C-101B-9397-08002B2CF9AE}" pid="4" name="KSOTemplateDocerSaveRecord">
    <vt:lpwstr>eyJoZGlkIjoiM2YwZTU0OGUwOGY0NGRlN2YwMjNjYWExMjczOTkyYzMifQ==</vt:lpwstr>
  </property>
</Properties>
</file>