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2992F8">
      <w:pPr>
        <w:spacing w:line="560" w:lineRule="exact"/>
        <w:rPr>
          <w:rFonts w:hint="eastAsia" w:ascii="黑体" w:hAnsi="黑体" w:eastAsia="黑体" w:cs="Times New Roman"/>
          <w:sz w:val="32"/>
          <w:szCs w:val="32"/>
          <w:lang w:eastAsia="zh-CN"/>
        </w:rPr>
      </w:pPr>
      <w:r>
        <w:rPr>
          <w:rFonts w:ascii="黑体" w:hAnsi="黑体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65D11278">
      <w:pPr>
        <w:spacing w:line="560" w:lineRule="exact"/>
        <w:jc w:val="center"/>
        <w:rPr>
          <w:rFonts w:hint="eastAsia" w:ascii="宋体" w:hAnsi="宋体" w:eastAsia="宋体" w:cs="Times New Roman"/>
          <w:b/>
          <w:sz w:val="28"/>
          <w:szCs w:val="28"/>
        </w:rPr>
      </w:pPr>
    </w:p>
    <w:p w14:paraId="52A3D8F0">
      <w:pPr>
        <w:spacing w:line="660" w:lineRule="exact"/>
        <w:jc w:val="center"/>
        <w:rPr>
          <w:rFonts w:hint="eastAsia" w:ascii="方正小标宋简体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 w:cs="Times New Roman"/>
          <w:sz w:val="44"/>
          <w:szCs w:val="44"/>
        </w:rPr>
        <w:t>年度广西高等教育本科教学改革工程</w:t>
      </w:r>
    </w:p>
    <w:p w14:paraId="40437F3B">
      <w:pPr>
        <w:spacing w:line="660" w:lineRule="exact"/>
        <w:jc w:val="center"/>
        <w:rPr>
          <w:rFonts w:hint="eastAsia" w:ascii="方正小标宋简体" w:eastAsia="方正小标宋简体" w:cs="Times New Roman"/>
          <w:sz w:val="44"/>
          <w:szCs w:val="44"/>
          <w:lang w:eastAsia="zh-CN"/>
        </w:rPr>
      </w:pPr>
      <w:r>
        <w:rPr>
          <w:rFonts w:hint="eastAsia" w:ascii="方正小标宋简体" w:eastAsia="方正小标宋简体" w:cs="Times New Roman"/>
          <w:sz w:val="44"/>
          <w:szCs w:val="44"/>
        </w:rPr>
        <w:t>项目申报</w:t>
      </w:r>
      <w:r>
        <w:rPr>
          <w:rFonts w:hint="eastAsia" w:ascii="方正小标宋简体" w:eastAsia="方正小标宋简体" w:cs="Times New Roman"/>
          <w:sz w:val="44"/>
          <w:szCs w:val="44"/>
          <w:lang w:val="en-US" w:eastAsia="zh-CN"/>
        </w:rPr>
        <w:t>范围</w:t>
      </w:r>
    </w:p>
    <w:p w14:paraId="6547ECA0">
      <w:pPr>
        <w:spacing w:line="560" w:lineRule="exact"/>
        <w:rPr>
          <w:rFonts w:ascii="黑体" w:hAnsi="黑体" w:eastAsia="黑体"/>
          <w:szCs w:val="32"/>
        </w:rPr>
      </w:pPr>
    </w:p>
    <w:p w14:paraId="24A1CF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专业设置与建设</w:t>
      </w:r>
    </w:p>
    <w:p w14:paraId="7065DF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Times New Roman"/>
          <w:color w:val="000000"/>
          <w:kern w:val="0"/>
          <w:sz w:val="32"/>
          <w:szCs w:val="32"/>
        </w:rPr>
      </w:pPr>
      <w:r>
        <w:rPr>
          <w:rFonts w:ascii="仿宋" w:hAnsi="仿宋" w:eastAsia="仿宋" w:cs="Times New Roman"/>
          <w:color w:val="000000"/>
          <w:kern w:val="0"/>
          <w:sz w:val="32"/>
          <w:szCs w:val="32"/>
        </w:rPr>
        <w:t>主要包括一流专业建设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，新工科、新医科、新农科、新文科</w:t>
      </w:r>
      <w:r>
        <w:rPr>
          <w:rFonts w:ascii="仿宋" w:hAnsi="仿宋" w:eastAsia="仿宋" w:cs="Times New Roman"/>
          <w:kern w:val="0"/>
          <w:sz w:val="32"/>
          <w:szCs w:val="32"/>
        </w:rPr>
        <w:t>建设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，</w:t>
      </w:r>
      <w:r>
        <w:rPr>
          <w:rFonts w:hint="eastAsia" w:ascii="仿宋" w:hAnsi="仿宋" w:eastAsia="仿宋" w:cs="Times New Roman"/>
          <w:kern w:val="0"/>
          <w:sz w:val="32"/>
          <w:szCs w:val="32"/>
          <w:lang w:val="en-US" w:eastAsia="zh-CN"/>
        </w:rPr>
        <w:t>基础学科相关专业建设，分类推进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应</w:t>
      </w:r>
      <w:bookmarkStart w:id="0" w:name="_GoBack"/>
      <w:bookmarkEnd w:id="0"/>
      <w:r>
        <w:rPr>
          <w:rFonts w:hint="eastAsia" w:ascii="仿宋" w:hAnsi="仿宋" w:eastAsia="仿宋" w:cs="Times New Roman"/>
          <w:kern w:val="0"/>
          <w:sz w:val="32"/>
          <w:szCs w:val="32"/>
        </w:rPr>
        <w:t>用型</w:t>
      </w:r>
      <w:r>
        <w:rPr>
          <w:rFonts w:ascii="仿宋" w:hAnsi="仿宋" w:eastAsia="仿宋" w:cs="Times New Roman"/>
          <w:kern w:val="0"/>
          <w:sz w:val="32"/>
          <w:szCs w:val="32"/>
        </w:rPr>
        <w:t>专业建设，专</w:t>
      </w:r>
      <w:r>
        <w:rPr>
          <w:rFonts w:ascii="仿宋" w:hAnsi="仿宋" w:eastAsia="仿宋" w:cs="Times New Roman"/>
          <w:color w:val="000000"/>
          <w:kern w:val="0"/>
          <w:sz w:val="32"/>
          <w:szCs w:val="32"/>
        </w:rPr>
        <w:t>业结构调整优化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，</w:t>
      </w:r>
      <w:r>
        <w:rPr>
          <w:rFonts w:ascii="仿宋" w:hAnsi="仿宋" w:eastAsia="仿宋" w:cs="Times New Roman"/>
          <w:color w:val="000000"/>
          <w:kern w:val="0"/>
          <w:sz w:val="32"/>
          <w:szCs w:val="32"/>
        </w:rPr>
        <w:t>本科专业类教学质量国家标准的应用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，</w:t>
      </w:r>
      <w:r>
        <w:rPr>
          <w:rFonts w:ascii="仿宋" w:hAnsi="仿宋" w:eastAsia="仿宋" w:cs="Times New Roman"/>
          <w:color w:val="000000"/>
          <w:kern w:val="0"/>
          <w:sz w:val="32"/>
          <w:szCs w:val="32"/>
        </w:rPr>
        <w:t>专业思政建设等。</w:t>
      </w:r>
    </w:p>
    <w:p w14:paraId="1D84F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人才培养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和教学改革</w:t>
      </w:r>
    </w:p>
    <w:p w14:paraId="048B21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Times New Roman"/>
          <w:color w:val="000000"/>
          <w:kern w:val="0"/>
          <w:sz w:val="32"/>
          <w:szCs w:val="32"/>
        </w:rPr>
      </w:pPr>
      <w:r>
        <w:rPr>
          <w:rFonts w:ascii="仿宋" w:hAnsi="仿宋" w:eastAsia="仿宋" w:cs="Times New Roman"/>
          <w:color w:val="000000"/>
          <w:kern w:val="0"/>
          <w:sz w:val="32"/>
          <w:szCs w:val="32"/>
        </w:rPr>
        <w:t>包括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现代</w:t>
      </w:r>
      <w:r>
        <w:rPr>
          <w:rFonts w:ascii="仿宋" w:hAnsi="仿宋" w:eastAsia="仿宋" w:cs="Times New Roman"/>
          <w:color w:val="000000"/>
          <w:kern w:val="0"/>
          <w:sz w:val="32"/>
          <w:szCs w:val="32"/>
        </w:rPr>
        <w:t>产业学院建设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特色化示范性软件学院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>建设、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高水平公共卫生学院建设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>未来技术学院、人工智能学院、网络安全学院、密码学院、智慧农业学院、涉外法治学院等专业学院建设，基础学科拔尖学生培养基地、涉外法治人才协同培养创新基地、复合型东盟语种人才培养示范基地建设，实验教学中心建设，</w:t>
      </w:r>
      <w:r>
        <w:rPr>
          <w:rFonts w:hint="eastAsia" w:ascii="仿宋" w:hAnsi="仿宋" w:eastAsia="仿宋" w:cs="Times New Roman"/>
          <w:sz w:val="32"/>
          <w:szCs w:val="32"/>
        </w:rPr>
        <w:t>“六卓越一拔尖”计划</w:t>
      </w:r>
      <w:r>
        <w:rPr>
          <w:rFonts w:ascii="Times New Roman" w:hAnsi="Times New Roman" w:eastAsia="仿宋" w:cs="Times New Roman"/>
          <w:sz w:val="32"/>
          <w:szCs w:val="32"/>
        </w:rPr>
        <w:t>2</w:t>
      </w:r>
      <w:r>
        <w:rPr>
          <w:rFonts w:ascii="仿宋" w:hAnsi="仿宋" w:eastAsia="仿宋" w:cs="Times New Roman"/>
          <w:sz w:val="32"/>
          <w:szCs w:val="32"/>
        </w:rPr>
        <w:t>.</w:t>
      </w:r>
      <w:r>
        <w:rPr>
          <w:rFonts w:ascii="Times New Roman" w:hAnsi="Times New Roman" w:eastAsia="仿宋" w:cs="Times New Roman"/>
          <w:sz w:val="32"/>
          <w:szCs w:val="32"/>
        </w:rPr>
        <w:t>0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、</w:t>
      </w:r>
      <w:r>
        <w:rPr>
          <w:rFonts w:ascii="仿宋" w:hAnsi="仿宋" w:eastAsia="仿宋" w:cs="Times New Roman"/>
          <w:color w:val="000000"/>
          <w:kern w:val="0"/>
          <w:sz w:val="32"/>
          <w:szCs w:val="32"/>
        </w:rPr>
        <w:t>应用型人才培养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、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>碳达峰碳中和人才培养、</w:t>
      </w:r>
      <w:r>
        <w:rPr>
          <w:rFonts w:ascii="仿宋" w:hAnsi="仿宋" w:eastAsia="仿宋" w:cs="Times New Roman"/>
          <w:color w:val="000000"/>
          <w:kern w:val="0"/>
          <w:sz w:val="32"/>
          <w:szCs w:val="32"/>
        </w:rPr>
        <w:t>产教融合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、</w:t>
      </w:r>
      <w:r>
        <w:rPr>
          <w:rFonts w:ascii="仿宋" w:hAnsi="仿宋" w:eastAsia="仿宋" w:cs="Times New Roman"/>
          <w:color w:val="000000"/>
          <w:kern w:val="0"/>
          <w:sz w:val="32"/>
          <w:szCs w:val="32"/>
        </w:rPr>
        <w:t>科研育人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、国际</w:t>
      </w:r>
      <w:r>
        <w:rPr>
          <w:rFonts w:ascii="仿宋" w:hAnsi="仿宋" w:eastAsia="仿宋" w:cs="Times New Roman"/>
          <w:color w:val="000000"/>
          <w:kern w:val="0"/>
          <w:sz w:val="32"/>
          <w:szCs w:val="32"/>
        </w:rPr>
        <w:t>合作育人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、</w:t>
      </w:r>
      <w:r>
        <w:rPr>
          <w:rFonts w:ascii="仿宋" w:hAnsi="仿宋" w:eastAsia="仿宋" w:cs="Times New Roman"/>
          <w:color w:val="000000"/>
          <w:kern w:val="0"/>
          <w:sz w:val="32"/>
          <w:szCs w:val="32"/>
        </w:rPr>
        <w:t>大类人才培养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、跨学科</w:t>
      </w:r>
      <w:r>
        <w:rPr>
          <w:rFonts w:ascii="仿宋" w:hAnsi="仿宋" w:eastAsia="仿宋" w:cs="Times New Roman"/>
          <w:color w:val="000000"/>
          <w:kern w:val="0"/>
          <w:sz w:val="32"/>
          <w:szCs w:val="32"/>
        </w:rPr>
        <w:t>复合型人才培养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、跨校</w:t>
      </w:r>
      <w:r>
        <w:rPr>
          <w:rFonts w:ascii="仿宋" w:hAnsi="仿宋" w:eastAsia="仿宋" w:cs="Times New Roman"/>
          <w:color w:val="000000"/>
          <w:kern w:val="0"/>
          <w:sz w:val="32"/>
          <w:szCs w:val="32"/>
        </w:rPr>
        <w:t>联合培养、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>劳动教育改革、公共艺术教育改革、教学方法和考核方式的改革、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学分制</w:t>
      </w:r>
      <w:r>
        <w:rPr>
          <w:rFonts w:ascii="仿宋" w:hAnsi="仿宋" w:eastAsia="仿宋" w:cs="Times New Roman"/>
          <w:color w:val="000000"/>
          <w:kern w:val="0"/>
          <w:sz w:val="32"/>
          <w:szCs w:val="32"/>
        </w:rPr>
        <w:t>改革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>等</w:t>
      </w:r>
      <w:r>
        <w:rPr>
          <w:rFonts w:ascii="仿宋" w:hAnsi="仿宋" w:eastAsia="仿宋" w:cs="Times New Roman"/>
          <w:color w:val="000000"/>
          <w:kern w:val="0"/>
          <w:sz w:val="32"/>
          <w:szCs w:val="32"/>
        </w:rPr>
        <w:t>。</w:t>
      </w:r>
    </w:p>
    <w:p w14:paraId="7A5483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课程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和教学资源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建设</w:t>
      </w:r>
    </w:p>
    <w:p w14:paraId="56645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</w:pPr>
      <w:r>
        <w:rPr>
          <w:rFonts w:ascii="仿宋" w:hAnsi="仿宋" w:eastAsia="仿宋" w:cs="Times New Roman"/>
          <w:color w:val="000000"/>
          <w:kern w:val="0"/>
          <w:sz w:val="32"/>
          <w:szCs w:val="32"/>
        </w:rPr>
        <w:t>包括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全面</w:t>
      </w:r>
      <w:r>
        <w:rPr>
          <w:rFonts w:ascii="仿宋" w:hAnsi="仿宋" w:eastAsia="仿宋" w:cs="Times New Roman"/>
          <w:color w:val="000000"/>
          <w:kern w:val="0"/>
          <w:sz w:val="32"/>
          <w:szCs w:val="32"/>
        </w:rPr>
        <w:t>推进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课程</w:t>
      </w:r>
      <w:r>
        <w:rPr>
          <w:rFonts w:ascii="仿宋" w:hAnsi="仿宋" w:eastAsia="仿宋" w:cs="Times New Roman"/>
          <w:color w:val="000000"/>
          <w:kern w:val="0"/>
          <w:sz w:val="32"/>
          <w:szCs w:val="32"/>
        </w:rPr>
        <w:t>思政建设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，培育</w:t>
      </w:r>
      <w:r>
        <w:rPr>
          <w:rFonts w:ascii="仿宋" w:hAnsi="仿宋" w:eastAsia="仿宋" w:cs="Times New Roman"/>
          <w:color w:val="000000"/>
          <w:kern w:val="0"/>
          <w:sz w:val="32"/>
          <w:szCs w:val="32"/>
        </w:rPr>
        <w:t>一批课程思政示范课程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；《习近平谈治国理政》多语种版本“三进”教学工作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>人工智能通识课建设；</w:t>
      </w:r>
      <w:r>
        <w:rPr>
          <w:rFonts w:ascii="仿宋" w:hAnsi="仿宋" w:eastAsia="仿宋" w:cs="Times New Roman"/>
          <w:color w:val="000000"/>
          <w:kern w:val="0"/>
          <w:sz w:val="32"/>
          <w:szCs w:val="32"/>
        </w:rPr>
        <w:t>MOOC、SPOC、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线上</w:t>
      </w:r>
      <w:r>
        <w:rPr>
          <w:rFonts w:ascii="仿宋" w:hAnsi="仿宋" w:eastAsia="仿宋" w:cs="Times New Roman"/>
          <w:color w:val="000000"/>
          <w:kern w:val="0"/>
          <w:sz w:val="32"/>
          <w:szCs w:val="32"/>
        </w:rPr>
        <w:t>线下混合式、线下、虚拟仿真实验教学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、</w:t>
      </w:r>
      <w:r>
        <w:rPr>
          <w:rFonts w:ascii="仿宋" w:hAnsi="仿宋" w:eastAsia="仿宋" w:cs="Times New Roman"/>
          <w:color w:val="000000"/>
          <w:kern w:val="0"/>
          <w:sz w:val="32"/>
          <w:szCs w:val="32"/>
        </w:rPr>
        <w:t>社会实践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等</w:t>
      </w:r>
      <w:r>
        <w:rPr>
          <w:rFonts w:ascii="仿宋" w:hAnsi="仿宋" w:eastAsia="仿宋" w:cs="Times New Roman"/>
          <w:color w:val="000000"/>
          <w:kern w:val="0"/>
          <w:sz w:val="32"/>
          <w:szCs w:val="32"/>
        </w:rPr>
        <w:t>各类课程的建设，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体现</w:t>
      </w:r>
      <w:r>
        <w:rPr>
          <w:rFonts w:ascii="仿宋" w:hAnsi="仿宋" w:eastAsia="仿宋" w:cs="Times New Roman"/>
          <w:color w:val="000000"/>
          <w:kern w:val="0"/>
          <w:sz w:val="32"/>
          <w:szCs w:val="32"/>
        </w:rPr>
        <w:t>先进性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、</w:t>
      </w:r>
      <w:r>
        <w:rPr>
          <w:rFonts w:ascii="仿宋" w:hAnsi="仿宋" w:eastAsia="仿宋" w:cs="Times New Roman"/>
          <w:color w:val="000000"/>
          <w:kern w:val="0"/>
          <w:sz w:val="32"/>
          <w:szCs w:val="32"/>
        </w:rPr>
        <w:t>互动性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、</w:t>
      </w:r>
      <w:r>
        <w:rPr>
          <w:rFonts w:ascii="仿宋" w:hAnsi="仿宋" w:eastAsia="仿宋" w:cs="Times New Roman"/>
          <w:color w:val="000000"/>
          <w:kern w:val="0"/>
          <w:sz w:val="32"/>
          <w:szCs w:val="32"/>
        </w:rPr>
        <w:t>创新性的教学方法的改革，</w:t>
      </w:r>
      <w:r>
        <w:rPr>
          <w:rFonts w:ascii="仿宋" w:hAnsi="仿宋" w:eastAsia="仿宋" w:cs="Times New Roman"/>
          <w:sz w:val="32"/>
          <w:szCs w:val="32"/>
        </w:rPr>
        <w:t>一流课程</w:t>
      </w:r>
      <w:r>
        <w:rPr>
          <w:rFonts w:hint="eastAsia" w:ascii="仿宋" w:hAnsi="仿宋" w:eastAsia="仿宋" w:cs="Times New Roman"/>
          <w:sz w:val="32"/>
          <w:szCs w:val="32"/>
        </w:rPr>
        <w:t>资源的共享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参与慕课西部行计划（含实验教学西部行计划）</w:t>
      </w:r>
      <w:r>
        <w:rPr>
          <w:rFonts w:hint="eastAsia" w:ascii="仿宋" w:hAnsi="仿宋" w:eastAsia="仿宋" w:cs="Times New Roman"/>
          <w:sz w:val="32"/>
          <w:szCs w:val="32"/>
        </w:rPr>
        <w:t>；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“四新”关键领域核心课程建设；教育知识图谱的应用；</w:t>
      </w:r>
      <w:r>
        <w:rPr>
          <w:rFonts w:hint="eastAsia" w:ascii="仿宋" w:hAnsi="仿宋" w:eastAsia="仿宋" w:cs="Times New Roman"/>
          <w:color w:val="auto"/>
          <w:sz w:val="32"/>
          <w:szCs w:val="32"/>
        </w:rPr>
        <w:t>碳达峰碳中和领域教学资源</w:t>
      </w: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建设</w:t>
      </w:r>
      <w:r>
        <w:rPr>
          <w:rFonts w:hint="eastAsia" w:ascii="仿宋" w:hAnsi="仿宋" w:eastAsia="仿宋" w:cs="Times New Roman"/>
          <w:color w:val="auto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“十四五”规划教材和战略性新兴领域教材建设；</w:t>
      </w:r>
      <w:r>
        <w:rPr>
          <w:rFonts w:ascii="仿宋" w:hAnsi="仿宋" w:eastAsia="仿宋" w:cs="Times New Roman"/>
          <w:color w:val="000000"/>
          <w:kern w:val="0"/>
          <w:sz w:val="32"/>
          <w:szCs w:val="32"/>
        </w:rPr>
        <w:t>信息化教学资源的建设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、</w:t>
      </w:r>
      <w:r>
        <w:rPr>
          <w:rFonts w:ascii="仿宋" w:hAnsi="仿宋" w:eastAsia="仿宋" w:cs="Times New Roman"/>
          <w:color w:val="000000"/>
          <w:kern w:val="0"/>
          <w:sz w:val="32"/>
          <w:szCs w:val="32"/>
        </w:rPr>
        <w:t>应用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与共享</w:t>
      </w:r>
      <w:r>
        <w:rPr>
          <w:rFonts w:ascii="仿宋" w:hAnsi="仿宋" w:eastAsia="仿宋" w:cs="Times New Roman"/>
          <w:color w:val="000000"/>
          <w:kern w:val="0"/>
          <w:sz w:val="32"/>
          <w:szCs w:val="32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>数字化赋能课程教学改革，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智慧</w:t>
      </w:r>
      <w:r>
        <w:rPr>
          <w:rFonts w:ascii="仿宋" w:hAnsi="仿宋" w:eastAsia="仿宋" w:cs="Times New Roman"/>
          <w:color w:val="000000"/>
          <w:kern w:val="0"/>
          <w:sz w:val="32"/>
          <w:szCs w:val="32"/>
        </w:rPr>
        <w:t>教室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、</w:t>
      </w:r>
      <w:r>
        <w:rPr>
          <w:rFonts w:ascii="仿宋" w:hAnsi="仿宋" w:eastAsia="仿宋" w:cs="Times New Roman"/>
          <w:color w:val="000000"/>
          <w:kern w:val="0"/>
          <w:sz w:val="32"/>
          <w:szCs w:val="32"/>
        </w:rPr>
        <w:t>智慧实验室的建设与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应用</w:t>
      </w:r>
      <w:r>
        <w:rPr>
          <w:rFonts w:ascii="仿宋" w:hAnsi="仿宋" w:eastAsia="仿宋" w:cs="Times New Roman"/>
          <w:color w:val="000000"/>
          <w:kern w:val="0"/>
          <w:sz w:val="32"/>
          <w:szCs w:val="32"/>
        </w:rPr>
        <w:t>，推动信息技术与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教育</w:t>
      </w:r>
      <w:r>
        <w:rPr>
          <w:rFonts w:ascii="仿宋" w:hAnsi="仿宋" w:eastAsia="仿宋" w:cs="Times New Roman"/>
          <w:color w:val="000000"/>
          <w:kern w:val="0"/>
          <w:sz w:val="32"/>
          <w:szCs w:val="32"/>
        </w:rPr>
        <w:t>教学融合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>等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。</w:t>
      </w:r>
    </w:p>
    <w:p w14:paraId="353937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教学质量保障体系建设</w:t>
      </w:r>
    </w:p>
    <w:p w14:paraId="69EBC2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 w:cs="Times New Roman"/>
          <w:color w:val="000000"/>
          <w:kern w:val="0"/>
          <w:sz w:val="32"/>
          <w:szCs w:val="32"/>
        </w:rPr>
      </w:pPr>
      <w:r>
        <w:rPr>
          <w:rFonts w:ascii="仿宋" w:hAnsi="仿宋" w:eastAsia="仿宋" w:cs="Times New Roman"/>
          <w:color w:val="000000"/>
          <w:kern w:val="0"/>
          <w:sz w:val="32"/>
          <w:szCs w:val="32"/>
        </w:rPr>
        <w:t>包括教学状态监测数据的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运用</w:t>
      </w:r>
      <w:r>
        <w:rPr>
          <w:rFonts w:ascii="仿宋" w:hAnsi="仿宋" w:eastAsia="仿宋" w:cs="Times New Roman"/>
          <w:color w:val="000000"/>
          <w:kern w:val="0"/>
          <w:sz w:val="32"/>
          <w:szCs w:val="32"/>
        </w:rPr>
        <w:t>、本科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>教育</w:t>
      </w:r>
      <w:r>
        <w:rPr>
          <w:rFonts w:ascii="仿宋" w:hAnsi="仿宋" w:eastAsia="仿宋" w:cs="Times New Roman"/>
          <w:color w:val="000000"/>
          <w:kern w:val="0"/>
          <w:sz w:val="32"/>
          <w:szCs w:val="32"/>
        </w:rPr>
        <w:t>教学工作评估、专业认证、专业评估、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教学</w:t>
      </w:r>
      <w:r>
        <w:rPr>
          <w:rFonts w:ascii="仿宋" w:hAnsi="仿宋" w:eastAsia="仿宋" w:cs="Times New Roman"/>
          <w:color w:val="000000"/>
          <w:kern w:val="0"/>
          <w:sz w:val="32"/>
          <w:szCs w:val="32"/>
        </w:rPr>
        <w:t>评价、课程评价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、学生</w:t>
      </w:r>
      <w:r>
        <w:rPr>
          <w:rFonts w:ascii="仿宋" w:hAnsi="仿宋" w:eastAsia="仿宋" w:cs="Times New Roman"/>
          <w:color w:val="000000"/>
          <w:kern w:val="0"/>
          <w:sz w:val="32"/>
          <w:szCs w:val="32"/>
        </w:rPr>
        <w:t>学业评价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>利用人工智能技术赋能教学质量管理等</w:t>
      </w:r>
      <w:r>
        <w:rPr>
          <w:rFonts w:ascii="仿宋" w:hAnsi="仿宋" w:eastAsia="仿宋" w:cs="Times New Roman"/>
          <w:color w:val="000000"/>
          <w:kern w:val="0"/>
          <w:sz w:val="32"/>
          <w:szCs w:val="32"/>
        </w:rPr>
        <w:t>。</w:t>
      </w:r>
    </w:p>
    <w:p w14:paraId="752AC2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教师教学能力提升</w:t>
      </w:r>
    </w:p>
    <w:p w14:paraId="595C20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</w:pPr>
      <w:r>
        <w:rPr>
          <w:rFonts w:ascii="仿宋" w:hAnsi="仿宋" w:eastAsia="仿宋" w:cs="Times New Roman"/>
          <w:color w:val="000000"/>
          <w:kern w:val="0"/>
          <w:sz w:val="32"/>
          <w:szCs w:val="32"/>
        </w:rPr>
        <w:t>包括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基层</w:t>
      </w:r>
      <w:r>
        <w:rPr>
          <w:rFonts w:ascii="仿宋" w:hAnsi="仿宋" w:eastAsia="仿宋" w:cs="Times New Roman"/>
          <w:color w:val="000000"/>
          <w:kern w:val="0"/>
          <w:sz w:val="32"/>
          <w:szCs w:val="32"/>
        </w:rPr>
        <w:t>教学组织建设，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虚拟教研室的探索，教学</w:t>
      </w:r>
      <w:r>
        <w:rPr>
          <w:rFonts w:ascii="仿宋" w:hAnsi="仿宋" w:eastAsia="仿宋" w:cs="Times New Roman"/>
          <w:color w:val="000000"/>
          <w:kern w:val="0"/>
          <w:sz w:val="32"/>
          <w:szCs w:val="32"/>
        </w:rPr>
        <w:t>团队建设，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教师</w:t>
      </w:r>
      <w:r>
        <w:rPr>
          <w:rFonts w:ascii="仿宋" w:hAnsi="仿宋" w:eastAsia="仿宋" w:cs="Times New Roman"/>
          <w:color w:val="000000"/>
          <w:kern w:val="0"/>
          <w:sz w:val="32"/>
          <w:szCs w:val="32"/>
        </w:rPr>
        <w:t>教学发展中心建设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，健全</w:t>
      </w:r>
      <w:r>
        <w:rPr>
          <w:rFonts w:ascii="仿宋" w:hAnsi="仿宋" w:eastAsia="仿宋" w:cs="Times New Roman"/>
          <w:color w:val="000000"/>
          <w:kern w:val="0"/>
          <w:sz w:val="32"/>
          <w:szCs w:val="32"/>
        </w:rPr>
        <w:t>助教岗位制度，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</w:rPr>
        <w:t>教学管理</w:t>
      </w:r>
      <w:r>
        <w:rPr>
          <w:rFonts w:ascii="仿宋" w:hAnsi="仿宋" w:eastAsia="仿宋" w:cs="Times New Roman"/>
          <w:color w:val="000000"/>
          <w:kern w:val="0"/>
          <w:sz w:val="32"/>
          <w:szCs w:val="32"/>
        </w:rPr>
        <w:t>队伍建设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>提升教师人工智能素养等</w:t>
      </w:r>
      <w:r>
        <w:rPr>
          <w:rFonts w:ascii="仿宋" w:hAnsi="仿宋" w:eastAsia="仿宋" w:cs="Times New Roman"/>
          <w:color w:val="000000"/>
          <w:kern w:val="0"/>
          <w:sz w:val="32"/>
          <w:szCs w:val="32"/>
        </w:rPr>
        <w:t>。</w:t>
      </w:r>
    </w:p>
    <w:p w14:paraId="3B692A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六、大学生创新创业教育</w:t>
      </w:r>
    </w:p>
    <w:p w14:paraId="172ED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000000"/>
          <w:kern w:val="0"/>
          <w:sz w:val="32"/>
          <w:szCs w:val="32"/>
          <w:lang w:val="en-US" w:eastAsia="zh-CN"/>
        </w:rPr>
        <w:t>包括创新创业课程建设、专业教育与创新创业教育的融合、思想政治教育与创新创业教育的融合、创新创业实践平台建设、教师创新创业教育能力提升、创新创业教育管理改革、利用人工智能辅助学生创新创业训练等。</w:t>
      </w:r>
    </w:p>
    <w:p w14:paraId="710042E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EF4A6C"/>
    <w:rsid w:val="1A165258"/>
    <w:rsid w:val="34244E94"/>
    <w:rsid w:val="450F52C4"/>
    <w:rsid w:val="45F84382"/>
    <w:rsid w:val="70BD42E0"/>
    <w:rsid w:val="7EEF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2025-03-14T06:59:00Z</dcterms:created>
  <dc:creator>刘晓霞</dc:creator>
  <cp:lastModifiedBy>刘晓霞</cp:lastModifiedBy>
  <dcterms:modified xsi:type="dcterms:W3CDTF">2025-03-14T07:04:55Z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25B655E06A524BD5BFCF2D6B3652937A_11</vt:lpwstr>
  </property>
  <property fmtid="{D5CDD505-2E9C-101B-9397-08002B2CF9AE}" pid="4" name="KSOTemplateDocerSaveRecord">
    <vt:lpwstr>eyJoZGlkIjoiYWEzODI0MWM2MDRlMjY4NGU4ZjY5YmIxNGM3Njc5N2EiLCJ1c2VySWQiOiIyNjYwMTI1MjEifQ==</vt:lpwstr>
  </property>
</Properties>
</file>